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5C" w:rsidRDefault="00B2475C" w:rsidP="00CB5890">
      <w:pPr>
        <w:spacing w:after="0"/>
        <w:ind w:left="-426"/>
        <w:jc w:val="center"/>
        <w:rPr>
          <w:rFonts w:ascii="Tahoma" w:eastAsia="Batang" w:hAnsi="Tahoma" w:cs="Tahoma"/>
          <w:color w:val="548DD4"/>
          <w:sz w:val="28"/>
          <w:szCs w:val="28"/>
        </w:rPr>
      </w:pPr>
      <w:r w:rsidRPr="00B2475C">
        <w:rPr>
          <w:rFonts w:ascii="Tahoma" w:eastAsia="Batang" w:hAnsi="Tahoma" w:cs="Tahoma"/>
          <w:noProof/>
          <w:color w:val="548DD4"/>
          <w:sz w:val="28"/>
          <w:szCs w:val="28"/>
          <w:lang w:eastAsia="fr-FR"/>
        </w:rPr>
        <w:drawing>
          <wp:inline distT="0" distB="0" distL="0" distR="0">
            <wp:extent cx="1864014" cy="1317009"/>
            <wp:effectExtent l="19050" t="0" r="2886" b="0"/>
            <wp:docPr id="5" name="Image 0" descr="Logo IED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DOM.png"/>
                    <pic:cNvPicPr/>
                  </pic:nvPicPr>
                  <pic:blipFill>
                    <a:blip r:embed="rId8" cstate="print"/>
                    <a:stretch>
                      <a:fillRect/>
                    </a:stretch>
                  </pic:blipFill>
                  <pic:spPr>
                    <a:xfrm>
                      <a:off x="0" y="0"/>
                      <a:ext cx="1867173" cy="1319241"/>
                    </a:xfrm>
                    <a:prstGeom prst="rect">
                      <a:avLst/>
                    </a:prstGeom>
                  </pic:spPr>
                </pic:pic>
              </a:graphicData>
            </a:graphic>
          </wp:inline>
        </w:drawing>
      </w:r>
    </w:p>
    <w:p w:rsidR="00B2475C" w:rsidRPr="00DD2872" w:rsidRDefault="00B2475C" w:rsidP="00211162">
      <w:pPr>
        <w:spacing w:after="0"/>
        <w:ind w:left="-1276"/>
        <w:rPr>
          <w:rFonts w:ascii="Tahoma" w:eastAsiaTheme="majorEastAsia" w:hAnsi="Tahoma" w:cs="Times New Roman (Titres CS)"/>
          <w:b/>
          <w:caps/>
          <w:color w:val="0BB4B8"/>
          <w:spacing w:val="-10"/>
          <w:kern w:val="28"/>
          <w:sz w:val="24"/>
          <w:szCs w:val="56"/>
        </w:rPr>
      </w:pPr>
    </w:p>
    <w:p w:rsidR="00517A36" w:rsidRPr="00334E18" w:rsidRDefault="00211162" w:rsidP="00211162">
      <w:pPr>
        <w:spacing w:after="0"/>
        <w:ind w:left="-1276"/>
        <w:rPr>
          <w:sz w:val="20"/>
        </w:rPr>
      </w:pPr>
      <w:r w:rsidRPr="00DD2872">
        <w:rPr>
          <w:rFonts w:ascii="Tahoma" w:eastAsiaTheme="majorEastAsia" w:hAnsi="Tahoma" w:cs="Times New Roman (Titres CS)"/>
          <w:b/>
          <w:caps/>
          <w:color w:val="0BB4B8"/>
          <w:spacing w:val="-10"/>
          <w:kern w:val="28"/>
          <w:sz w:val="24"/>
          <w:szCs w:val="56"/>
        </w:rPr>
        <w:t xml:space="preserve"> </w:t>
      </w:r>
      <w:r w:rsidR="00B2475C" w:rsidRPr="00DD2872">
        <w:rPr>
          <w:rFonts w:ascii="Tahoma" w:eastAsiaTheme="majorEastAsia" w:hAnsi="Tahoma" w:cs="Times New Roman (Titres CS)"/>
          <w:b/>
          <w:caps/>
          <w:color w:val="0BB4B8"/>
          <w:spacing w:val="-10"/>
          <w:kern w:val="28"/>
          <w:sz w:val="24"/>
          <w:szCs w:val="56"/>
        </w:rPr>
        <w:tab/>
      </w:r>
      <w:r w:rsidR="00B2475C" w:rsidRPr="00DD2872">
        <w:rPr>
          <w:rFonts w:ascii="Tahoma" w:eastAsiaTheme="majorEastAsia" w:hAnsi="Tahoma" w:cs="Times New Roman (Titres CS)"/>
          <w:b/>
          <w:caps/>
          <w:color w:val="0BB4B8"/>
          <w:spacing w:val="-10"/>
          <w:kern w:val="28"/>
          <w:sz w:val="24"/>
          <w:szCs w:val="56"/>
        </w:rPr>
        <w:tab/>
      </w:r>
      <w:r w:rsidR="00517A36" w:rsidRPr="00DD2872">
        <w:rPr>
          <w:rFonts w:ascii="Tahoma" w:eastAsiaTheme="majorEastAsia" w:hAnsi="Tahoma" w:cs="Times New Roman (Titres CS)"/>
          <w:b/>
          <w:color w:val="0BB4B8"/>
          <w:spacing w:val="-10"/>
          <w:kern w:val="28"/>
          <w:sz w:val="24"/>
          <w:szCs w:val="56"/>
        </w:rPr>
        <w:t>Communiqué de presse</w:t>
      </w:r>
      <w:r w:rsidR="00517A36" w:rsidRPr="0073064A">
        <w:rPr>
          <w:rFonts w:ascii="Tahoma" w:eastAsia="Batang" w:hAnsi="Tahoma" w:cs="Tahoma"/>
          <w:color w:val="85186E"/>
          <w:sz w:val="32"/>
          <w:szCs w:val="36"/>
        </w:rPr>
        <w:tab/>
      </w:r>
      <w:r>
        <w:rPr>
          <w:rFonts w:ascii="Tahoma" w:eastAsia="Batang" w:hAnsi="Tahoma" w:cs="Tahoma"/>
          <w:color w:val="548DD4"/>
          <w:sz w:val="32"/>
          <w:szCs w:val="36"/>
        </w:rPr>
        <w:tab/>
      </w:r>
      <w:r>
        <w:rPr>
          <w:rFonts w:ascii="Tahoma" w:eastAsia="Batang" w:hAnsi="Tahoma" w:cs="Tahoma"/>
          <w:color w:val="548DD4"/>
          <w:sz w:val="32"/>
          <w:szCs w:val="36"/>
        </w:rPr>
        <w:tab/>
      </w:r>
      <w:r>
        <w:rPr>
          <w:rFonts w:ascii="Tahoma" w:eastAsia="Batang" w:hAnsi="Tahoma" w:cs="Tahoma"/>
          <w:color w:val="548DD4"/>
          <w:sz w:val="32"/>
          <w:szCs w:val="36"/>
        </w:rPr>
        <w:tab/>
      </w:r>
      <w:r w:rsidR="00DD2872">
        <w:rPr>
          <w:rFonts w:ascii="Tahoma" w:eastAsia="Batang" w:hAnsi="Tahoma" w:cs="Tahoma"/>
          <w:color w:val="548DD4"/>
          <w:sz w:val="32"/>
          <w:szCs w:val="36"/>
        </w:rPr>
        <w:tab/>
      </w:r>
      <w:r w:rsidR="00517A36">
        <w:rPr>
          <w:rFonts w:ascii="Tahoma" w:hAnsi="Tahoma" w:cs="Tahoma"/>
          <w:sz w:val="20"/>
        </w:rPr>
        <w:t>Saint-Denis</w:t>
      </w:r>
      <w:r w:rsidR="00517A36" w:rsidRPr="00334E18">
        <w:rPr>
          <w:rFonts w:ascii="Tahoma" w:hAnsi="Tahoma" w:cs="Tahoma"/>
          <w:sz w:val="20"/>
        </w:rPr>
        <w:t>,</w:t>
      </w:r>
      <w:r w:rsidR="0015598C">
        <w:rPr>
          <w:rFonts w:ascii="Tahoma" w:hAnsi="Tahoma" w:cs="Tahoma"/>
          <w:sz w:val="20"/>
        </w:rPr>
        <w:t xml:space="preserve"> </w:t>
      </w:r>
      <w:r w:rsidR="00792D48">
        <w:rPr>
          <w:rFonts w:ascii="Tahoma" w:hAnsi="Tahoma" w:cs="Tahoma"/>
          <w:sz w:val="20"/>
        </w:rPr>
        <w:t xml:space="preserve">le </w:t>
      </w:r>
      <w:r w:rsidR="00DC64BC">
        <w:rPr>
          <w:rFonts w:ascii="Tahoma" w:hAnsi="Tahoma" w:cs="Tahoma"/>
          <w:sz w:val="20"/>
        </w:rPr>
        <w:t>jeudi</w:t>
      </w:r>
      <w:bookmarkStart w:id="0" w:name="_GoBack"/>
      <w:bookmarkEnd w:id="0"/>
      <w:r w:rsidR="009809B6">
        <w:rPr>
          <w:rFonts w:ascii="Tahoma" w:hAnsi="Tahoma" w:cs="Tahoma"/>
          <w:sz w:val="20"/>
        </w:rPr>
        <w:t xml:space="preserve"> </w:t>
      </w:r>
      <w:r w:rsidR="00D56203">
        <w:rPr>
          <w:rFonts w:ascii="Tahoma" w:hAnsi="Tahoma" w:cs="Tahoma"/>
          <w:sz w:val="20"/>
        </w:rPr>
        <w:t>1</w:t>
      </w:r>
      <w:r w:rsidR="00DC64BC">
        <w:rPr>
          <w:rFonts w:ascii="Tahoma" w:hAnsi="Tahoma" w:cs="Tahoma"/>
          <w:sz w:val="20"/>
        </w:rPr>
        <w:t>8</w:t>
      </w:r>
      <w:r w:rsidR="00D56203">
        <w:rPr>
          <w:rFonts w:ascii="Tahoma" w:hAnsi="Tahoma" w:cs="Tahoma"/>
          <w:sz w:val="20"/>
        </w:rPr>
        <w:t xml:space="preserve"> mars</w:t>
      </w:r>
      <w:r w:rsidR="00937F05">
        <w:rPr>
          <w:rFonts w:ascii="Tahoma" w:hAnsi="Tahoma" w:cs="Tahoma"/>
          <w:sz w:val="20"/>
        </w:rPr>
        <w:t xml:space="preserve"> </w:t>
      </w:r>
      <w:r w:rsidR="00BD1694">
        <w:rPr>
          <w:rFonts w:ascii="Tahoma" w:hAnsi="Tahoma" w:cs="Tahoma"/>
          <w:sz w:val="20"/>
        </w:rPr>
        <w:t>202</w:t>
      </w:r>
      <w:r w:rsidR="00665912">
        <w:rPr>
          <w:rFonts w:ascii="Tahoma" w:hAnsi="Tahoma" w:cs="Tahoma"/>
          <w:sz w:val="20"/>
        </w:rPr>
        <w:t>1</w:t>
      </w:r>
    </w:p>
    <w:p w:rsidR="00D933A7" w:rsidRDefault="00D933A7" w:rsidP="003E55BB">
      <w:pPr>
        <w:pStyle w:val="Titre"/>
        <w:rPr>
          <w:sz w:val="24"/>
        </w:rPr>
      </w:pPr>
    </w:p>
    <w:p w:rsidR="00D933A7" w:rsidRDefault="00D933A7" w:rsidP="003E55BB">
      <w:pPr>
        <w:pStyle w:val="Titre"/>
        <w:rPr>
          <w:sz w:val="24"/>
        </w:rPr>
      </w:pPr>
    </w:p>
    <w:p w:rsidR="00D933A7" w:rsidRDefault="00D933A7" w:rsidP="003E55BB">
      <w:pPr>
        <w:pStyle w:val="Titre"/>
        <w:rPr>
          <w:sz w:val="24"/>
        </w:rPr>
      </w:pPr>
    </w:p>
    <w:p w:rsidR="003E55BB" w:rsidRPr="003E55BB" w:rsidRDefault="00937F05" w:rsidP="003E55BB">
      <w:pPr>
        <w:pStyle w:val="Titre"/>
        <w:rPr>
          <w:sz w:val="24"/>
        </w:rPr>
      </w:pPr>
      <w:r>
        <w:rPr>
          <w:sz w:val="24"/>
        </w:rPr>
        <w:t>L</w:t>
      </w:r>
      <w:r w:rsidR="0071650F">
        <w:rPr>
          <w:sz w:val="24"/>
        </w:rPr>
        <w:t xml:space="preserve">es </w:t>
      </w:r>
      <w:r w:rsidR="003E55BB" w:rsidRPr="003E55BB">
        <w:rPr>
          <w:sz w:val="24"/>
        </w:rPr>
        <w:t xml:space="preserve">Taux </w:t>
      </w:r>
      <w:r w:rsidR="003E55BB" w:rsidRPr="00875D09">
        <w:rPr>
          <w:sz w:val="24"/>
        </w:rPr>
        <w:t>des</w:t>
      </w:r>
      <w:r w:rsidR="003E55BB" w:rsidRPr="003E55BB">
        <w:rPr>
          <w:sz w:val="24"/>
        </w:rPr>
        <w:t xml:space="preserve"> cr</w:t>
      </w:r>
      <w:r w:rsidR="00535040">
        <w:rPr>
          <w:sz w:val="24"/>
        </w:rPr>
        <w:t>É</w:t>
      </w:r>
      <w:r w:rsidR="003E55BB" w:rsidRPr="003E55BB">
        <w:rPr>
          <w:sz w:val="24"/>
        </w:rPr>
        <w:t>dits</w:t>
      </w:r>
      <w:r>
        <w:rPr>
          <w:sz w:val="24"/>
        </w:rPr>
        <w:t xml:space="preserve"> </w:t>
      </w:r>
      <w:r w:rsidR="00535040">
        <w:rPr>
          <w:rFonts w:cs="Tahoma"/>
          <w:sz w:val="24"/>
        </w:rPr>
        <w:t>À</w:t>
      </w:r>
      <w:r w:rsidR="003E55BB" w:rsidRPr="003E55BB">
        <w:rPr>
          <w:sz w:val="24"/>
        </w:rPr>
        <w:t xml:space="preserve"> La R</w:t>
      </w:r>
      <w:r w:rsidR="00535040">
        <w:rPr>
          <w:sz w:val="24"/>
        </w:rPr>
        <w:t>É</w:t>
      </w:r>
      <w:r w:rsidR="003E55BB" w:rsidRPr="003E55BB">
        <w:rPr>
          <w:sz w:val="24"/>
        </w:rPr>
        <w:t>union</w:t>
      </w:r>
      <w:r w:rsidR="003E55BB">
        <w:rPr>
          <w:sz w:val="24"/>
        </w:rPr>
        <w:t xml:space="preserve"> au </w:t>
      </w:r>
      <w:r w:rsidR="00D56203">
        <w:rPr>
          <w:sz w:val="24"/>
        </w:rPr>
        <w:t>4</w:t>
      </w:r>
      <w:r w:rsidR="003E55BB" w:rsidRPr="00DD2872">
        <w:rPr>
          <w:caps w:val="0"/>
          <w:sz w:val="24"/>
          <w:vertAlign w:val="superscript"/>
        </w:rPr>
        <w:t>e</w:t>
      </w:r>
      <w:r w:rsidR="003E55BB">
        <w:rPr>
          <w:sz w:val="24"/>
        </w:rPr>
        <w:t xml:space="preserve"> trimestre</w:t>
      </w:r>
      <w:r w:rsidR="003716C7">
        <w:rPr>
          <w:sz w:val="24"/>
        </w:rPr>
        <w:t> </w:t>
      </w:r>
      <w:r w:rsidR="00192870">
        <w:rPr>
          <w:sz w:val="24"/>
        </w:rPr>
        <w:t>2020</w:t>
      </w:r>
    </w:p>
    <w:p w:rsidR="003E55BB" w:rsidRDefault="003E55BB" w:rsidP="003E55BB">
      <w:pPr>
        <w:pStyle w:val="Sous-titre"/>
        <w:spacing w:after="240"/>
      </w:pPr>
      <w:r w:rsidRPr="0071650F">
        <w:t xml:space="preserve">aux ENTREPRISES ET AUX particuliers </w:t>
      </w:r>
    </w:p>
    <w:p w:rsidR="003E55BB" w:rsidRPr="00D933A7" w:rsidRDefault="00517A36" w:rsidP="0015598C">
      <w:pPr>
        <w:pStyle w:val="Default"/>
        <w:jc w:val="both"/>
        <w:rPr>
          <w:rFonts w:ascii="Tahoma" w:hAnsi="Tahoma" w:cs="Tahoma"/>
          <w:b/>
          <w:sz w:val="18"/>
          <w:szCs w:val="18"/>
        </w:rPr>
      </w:pPr>
      <w:r w:rsidRPr="00D933A7">
        <w:rPr>
          <w:rFonts w:ascii="Tahoma" w:hAnsi="Tahoma" w:cs="Tahoma"/>
          <w:b/>
          <w:sz w:val="18"/>
          <w:szCs w:val="18"/>
        </w:rPr>
        <w:t>L</w:t>
      </w:r>
      <w:r w:rsidR="00600923" w:rsidRPr="00D933A7">
        <w:rPr>
          <w:rFonts w:ascii="Tahoma" w:hAnsi="Tahoma" w:cs="Tahoma"/>
          <w:b/>
          <w:sz w:val="18"/>
          <w:szCs w:val="18"/>
        </w:rPr>
        <w:t>’</w:t>
      </w:r>
      <w:r w:rsidRPr="00D933A7">
        <w:rPr>
          <w:rFonts w:ascii="Tahoma" w:hAnsi="Tahoma" w:cs="Tahoma"/>
          <w:b/>
          <w:sz w:val="18"/>
          <w:szCs w:val="18"/>
        </w:rPr>
        <w:t>Institut d</w:t>
      </w:r>
      <w:r w:rsidR="00600923" w:rsidRPr="00D933A7">
        <w:rPr>
          <w:rFonts w:ascii="Tahoma" w:hAnsi="Tahoma" w:cs="Tahoma"/>
          <w:b/>
          <w:sz w:val="18"/>
          <w:szCs w:val="18"/>
        </w:rPr>
        <w:t>’</w:t>
      </w:r>
      <w:r w:rsidRPr="00D933A7">
        <w:rPr>
          <w:rFonts w:ascii="Tahoma" w:hAnsi="Tahoma" w:cs="Tahoma"/>
          <w:b/>
          <w:sz w:val="18"/>
          <w:szCs w:val="18"/>
        </w:rPr>
        <w:t>émission des départements d</w:t>
      </w:r>
      <w:r w:rsidR="00600923" w:rsidRPr="00D933A7">
        <w:rPr>
          <w:rFonts w:ascii="Tahoma" w:hAnsi="Tahoma" w:cs="Tahoma"/>
          <w:b/>
          <w:sz w:val="18"/>
          <w:szCs w:val="18"/>
        </w:rPr>
        <w:t>’</w:t>
      </w:r>
      <w:r w:rsidRPr="00D933A7">
        <w:rPr>
          <w:rFonts w:ascii="Tahoma" w:hAnsi="Tahoma" w:cs="Tahoma"/>
          <w:b/>
          <w:sz w:val="18"/>
          <w:szCs w:val="18"/>
        </w:rPr>
        <w:t xml:space="preserve">outre-mer (IEDOM) publie </w:t>
      </w:r>
      <w:r w:rsidR="003E55BB" w:rsidRPr="00D933A7">
        <w:rPr>
          <w:rFonts w:ascii="Tahoma" w:hAnsi="Tahoma" w:cs="Tahoma"/>
          <w:b/>
          <w:sz w:val="18"/>
          <w:szCs w:val="18"/>
        </w:rPr>
        <w:t>deux</w:t>
      </w:r>
      <w:r w:rsidR="0015598C" w:rsidRPr="00D933A7">
        <w:rPr>
          <w:rFonts w:ascii="Tahoma" w:hAnsi="Tahoma" w:cs="Tahoma"/>
          <w:b/>
          <w:sz w:val="18"/>
          <w:szCs w:val="18"/>
        </w:rPr>
        <w:t xml:space="preserve"> </w:t>
      </w:r>
      <w:r w:rsidR="003E55BB" w:rsidRPr="00D933A7">
        <w:rPr>
          <w:rFonts w:ascii="Tahoma" w:hAnsi="Tahoma" w:cs="Tahoma"/>
          <w:b/>
          <w:sz w:val="18"/>
          <w:szCs w:val="18"/>
        </w:rPr>
        <w:t>notes de conjoncture financi</w:t>
      </w:r>
      <w:r w:rsidR="00777DC4">
        <w:rPr>
          <w:rFonts w:ascii="Tahoma" w:hAnsi="Tahoma" w:cs="Tahoma"/>
          <w:b/>
          <w:sz w:val="18"/>
          <w:szCs w:val="18"/>
        </w:rPr>
        <w:t xml:space="preserve">ère relatives au taux des crédits </w:t>
      </w:r>
      <w:r w:rsidR="003E55BB" w:rsidRPr="00D933A7">
        <w:rPr>
          <w:rFonts w:ascii="Tahoma" w:hAnsi="Tahoma" w:cs="Tahoma"/>
          <w:b/>
          <w:sz w:val="18"/>
          <w:szCs w:val="18"/>
        </w:rPr>
        <w:t>à La Réunion</w:t>
      </w:r>
      <w:r w:rsidR="003716C7">
        <w:rPr>
          <w:rFonts w:ascii="Tahoma" w:hAnsi="Tahoma" w:cs="Tahoma"/>
          <w:b/>
          <w:sz w:val="18"/>
          <w:szCs w:val="18"/>
        </w:rPr>
        <w:t> :</w:t>
      </w:r>
      <w:r w:rsidR="003E55BB" w:rsidRPr="00D933A7">
        <w:rPr>
          <w:rFonts w:ascii="Tahoma" w:hAnsi="Tahoma" w:cs="Tahoma"/>
          <w:b/>
          <w:sz w:val="18"/>
          <w:szCs w:val="18"/>
        </w:rPr>
        <w:t xml:space="preserve"> </w:t>
      </w:r>
    </w:p>
    <w:p w:rsidR="003E55BB" w:rsidRPr="00777DC4" w:rsidRDefault="006D60EC" w:rsidP="00997A2A">
      <w:pPr>
        <w:pStyle w:val="Default"/>
        <w:numPr>
          <w:ilvl w:val="0"/>
          <w:numId w:val="7"/>
        </w:numPr>
        <w:jc w:val="both"/>
        <w:rPr>
          <w:rFonts w:ascii="Tahoma" w:hAnsi="Tahoma" w:cs="Tahoma"/>
          <w:b/>
          <w:color w:val="0BB4B8"/>
          <w:sz w:val="18"/>
          <w:szCs w:val="18"/>
        </w:rPr>
      </w:pPr>
      <w:r w:rsidRPr="00777DC4">
        <w:rPr>
          <w:rFonts w:ascii="Tahoma" w:hAnsi="Tahoma" w:cs="Tahoma"/>
          <w:b/>
          <w:color w:val="0BB4B8"/>
          <w:sz w:val="18"/>
          <w:szCs w:val="18"/>
        </w:rPr>
        <w:t>T</w:t>
      </w:r>
      <w:r w:rsidR="0015598C" w:rsidRPr="00777DC4">
        <w:rPr>
          <w:rFonts w:ascii="Tahoma" w:hAnsi="Tahoma" w:cs="Tahoma"/>
          <w:b/>
          <w:color w:val="0BB4B8"/>
          <w:sz w:val="18"/>
          <w:szCs w:val="18"/>
        </w:rPr>
        <w:t>aux de</w:t>
      </w:r>
      <w:r w:rsidRPr="00777DC4">
        <w:rPr>
          <w:rFonts w:ascii="Tahoma" w:hAnsi="Tahoma" w:cs="Tahoma"/>
          <w:b/>
          <w:color w:val="0BB4B8"/>
          <w:sz w:val="18"/>
          <w:szCs w:val="18"/>
        </w:rPr>
        <w:t>s</w:t>
      </w:r>
      <w:r w:rsidR="0015598C" w:rsidRPr="00777DC4">
        <w:rPr>
          <w:rFonts w:ascii="Tahoma" w:hAnsi="Tahoma" w:cs="Tahoma"/>
          <w:b/>
          <w:color w:val="0BB4B8"/>
          <w:sz w:val="18"/>
          <w:szCs w:val="18"/>
        </w:rPr>
        <w:t xml:space="preserve"> crédits aux entreprises </w:t>
      </w:r>
      <w:r w:rsidR="00D933A7" w:rsidRPr="00777DC4">
        <w:rPr>
          <w:rFonts w:ascii="Tahoma" w:hAnsi="Tahoma" w:cs="Tahoma"/>
          <w:b/>
          <w:color w:val="0BB4B8"/>
          <w:sz w:val="18"/>
          <w:szCs w:val="18"/>
        </w:rPr>
        <w:t xml:space="preserve">au </w:t>
      </w:r>
      <w:r w:rsidR="00D56203">
        <w:rPr>
          <w:rFonts w:ascii="Tahoma" w:hAnsi="Tahoma" w:cs="Tahoma"/>
          <w:b/>
          <w:color w:val="0BB4B8"/>
          <w:sz w:val="18"/>
          <w:szCs w:val="18"/>
        </w:rPr>
        <w:t>4</w:t>
      </w:r>
      <w:r w:rsidR="00D933A7" w:rsidRPr="00777DC4">
        <w:rPr>
          <w:rFonts w:ascii="Tahoma" w:hAnsi="Tahoma" w:cs="Tahoma"/>
          <w:b/>
          <w:color w:val="0BB4B8"/>
          <w:sz w:val="18"/>
          <w:szCs w:val="18"/>
          <w:vertAlign w:val="superscript"/>
        </w:rPr>
        <w:t>e</w:t>
      </w:r>
      <w:r w:rsidR="00D933A7" w:rsidRPr="00777DC4">
        <w:rPr>
          <w:rFonts w:ascii="Tahoma" w:hAnsi="Tahoma" w:cs="Tahoma"/>
          <w:b/>
          <w:color w:val="0BB4B8"/>
          <w:sz w:val="18"/>
          <w:szCs w:val="18"/>
        </w:rPr>
        <w:t xml:space="preserve"> trimestre</w:t>
      </w:r>
      <w:r w:rsidR="003716C7">
        <w:rPr>
          <w:rFonts w:ascii="Tahoma" w:hAnsi="Tahoma" w:cs="Tahoma"/>
          <w:b/>
          <w:color w:val="0BB4B8"/>
          <w:sz w:val="18"/>
          <w:szCs w:val="18"/>
        </w:rPr>
        <w:t> </w:t>
      </w:r>
      <w:r w:rsidR="003C55DB">
        <w:rPr>
          <w:rFonts w:ascii="Tahoma" w:hAnsi="Tahoma" w:cs="Tahoma"/>
          <w:b/>
          <w:color w:val="0BB4B8"/>
          <w:sz w:val="18"/>
          <w:szCs w:val="18"/>
        </w:rPr>
        <w:t>2020</w:t>
      </w:r>
    </w:p>
    <w:p w:rsidR="003E55BB" w:rsidRPr="00777DC4" w:rsidRDefault="006D60EC" w:rsidP="00997A2A">
      <w:pPr>
        <w:pStyle w:val="Default"/>
        <w:numPr>
          <w:ilvl w:val="0"/>
          <w:numId w:val="7"/>
        </w:numPr>
        <w:jc w:val="both"/>
        <w:rPr>
          <w:rFonts w:ascii="Tahoma" w:hAnsi="Tahoma" w:cs="Tahoma"/>
          <w:b/>
          <w:color w:val="0BB4B8"/>
          <w:sz w:val="18"/>
          <w:szCs w:val="18"/>
        </w:rPr>
      </w:pPr>
      <w:r w:rsidRPr="00777DC4">
        <w:rPr>
          <w:rFonts w:ascii="Tahoma" w:hAnsi="Tahoma" w:cs="Tahoma"/>
          <w:b/>
          <w:color w:val="0BB4B8"/>
          <w:sz w:val="18"/>
          <w:szCs w:val="18"/>
        </w:rPr>
        <w:t>T</w:t>
      </w:r>
      <w:r w:rsidR="003E55BB" w:rsidRPr="00777DC4">
        <w:rPr>
          <w:rFonts w:ascii="Tahoma" w:hAnsi="Tahoma" w:cs="Tahoma"/>
          <w:b/>
          <w:color w:val="0BB4B8"/>
          <w:sz w:val="18"/>
          <w:szCs w:val="18"/>
        </w:rPr>
        <w:t>aux de</w:t>
      </w:r>
      <w:r w:rsidRPr="00777DC4">
        <w:rPr>
          <w:rFonts w:ascii="Tahoma" w:hAnsi="Tahoma" w:cs="Tahoma"/>
          <w:b/>
          <w:color w:val="0BB4B8"/>
          <w:sz w:val="18"/>
          <w:szCs w:val="18"/>
        </w:rPr>
        <w:t>s</w:t>
      </w:r>
      <w:r w:rsidR="003E55BB" w:rsidRPr="00777DC4">
        <w:rPr>
          <w:rFonts w:ascii="Tahoma" w:hAnsi="Tahoma" w:cs="Tahoma"/>
          <w:b/>
          <w:color w:val="0BB4B8"/>
          <w:sz w:val="18"/>
          <w:szCs w:val="18"/>
        </w:rPr>
        <w:t xml:space="preserve"> crédits aux particuliers </w:t>
      </w:r>
      <w:r w:rsidR="00D933A7" w:rsidRPr="00777DC4">
        <w:rPr>
          <w:rFonts w:ascii="Tahoma" w:hAnsi="Tahoma" w:cs="Tahoma"/>
          <w:b/>
          <w:color w:val="0BB4B8"/>
          <w:sz w:val="18"/>
          <w:szCs w:val="18"/>
        </w:rPr>
        <w:t xml:space="preserve">au </w:t>
      </w:r>
      <w:r w:rsidR="00D56203">
        <w:rPr>
          <w:rFonts w:ascii="Tahoma" w:hAnsi="Tahoma" w:cs="Tahoma"/>
          <w:b/>
          <w:color w:val="0BB4B8"/>
          <w:sz w:val="18"/>
          <w:szCs w:val="18"/>
        </w:rPr>
        <w:t>4</w:t>
      </w:r>
      <w:r w:rsidR="00D933A7" w:rsidRPr="00777DC4">
        <w:rPr>
          <w:rFonts w:ascii="Tahoma" w:hAnsi="Tahoma" w:cs="Tahoma"/>
          <w:b/>
          <w:color w:val="0BB4B8"/>
          <w:sz w:val="18"/>
          <w:szCs w:val="18"/>
          <w:vertAlign w:val="superscript"/>
        </w:rPr>
        <w:t>e</w:t>
      </w:r>
      <w:r w:rsidR="00D933A7" w:rsidRPr="00777DC4">
        <w:rPr>
          <w:rFonts w:ascii="Tahoma" w:hAnsi="Tahoma" w:cs="Tahoma"/>
          <w:b/>
          <w:color w:val="0BB4B8"/>
          <w:sz w:val="18"/>
          <w:szCs w:val="18"/>
        </w:rPr>
        <w:t xml:space="preserve"> trimestre</w:t>
      </w:r>
      <w:r w:rsidR="003716C7">
        <w:rPr>
          <w:rFonts w:ascii="Tahoma" w:hAnsi="Tahoma" w:cs="Tahoma"/>
          <w:b/>
          <w:color w:val="0BB4B8"/>
          <w:sz w:val="18"/>
          <w:szCs w:val="18"/>
        </w:rPr>
        <w:t> </w:t>
      </w:r>
      <w:r w:rsidR="003C55DB">
        <w:rPr>
          <w:rFonts w:ascii="Tahoma" w:hAnsi="Tahoma" w:cs="Tahoma"/>
          <w:b/>
          <w:color w:val="0BB4B8"/>
          <w:sz w:val="18"/>
          <w:szCs w:val="18"/>
        </w:rPr>
        <w:t>2020</w:t>
      </w:r>
    </w:p>
    <w:p w:rsidR="00937F05" w:rsidRPr="00D933A7" w:rsidRDefault="00937F05" w:rsidP="0015598C">
      <w:pPr>
        <w:pStyle w:val="Default"/>
        <w:jc w:val="both"/>
        <w:rPr>
          <w:rFonts w:ascii="Tahoma" w:hAnsi="Tahoma" w:cs="Tahoma"/>
          <w:b/>
          <w:sz w:val="18"/>
          <w:szCs w:val="18"/>
        </w:rPr>
      </w:pPr>
    </w:p>
    <w:p w:rsidR="00875D09" w:rsidRPr="00777DC4" w:rsidRDefault="00D56203" w:rsidP="00777DC4">
      <w:pPr>
        <w:pStyle w:val="Default"/>
        <w:spacing w:after="120"/>
        <w:jc w:val="both"/>
        <w:rPr>
          <w:rFonts w:ascii="Tahoma" w:hAnsi="Tahoma" w:cs="Tahoma"/>
          <w:b/>
          <w:color w:val="0BB4B8"/>
          <w:sz w:val="20"/>
          <w:szCs w:val="18"/>
        </w:rPr>
      </w:pPr>
      <w:r>
        <w:rPr>
          <w:rFonts w:ascii="Tahoma" w:hAnsi="Tahoma" w:cs="Tahoma"/>
          <w:b/>
          <w:color w:val="0BB4B8"/>
          <w:sz w:val="20"/>
          <w:szCs w:val="18"/>
        </w:rPr>
        <w:t>U</w:t>
      </w:r>
      <w:r w:rsidRPr="00D56203">
        <w:rPr>
          <w:rFonts w:ascii="Tahoma" w:hAnsi="Tahoma" w:cs="Tahoma"/>
          <w:b/>
          <w:color w:val="0BB4B8"/>
          <w:sz w:val="20"/>
          <w:szCs w:val="18"/>
        </w:rPr>
        <w:t xml:space="preserve">ne remontée des taux </w:t>
      </w:r>
      <w:r>
        <w:rPr>
          <w:rFonts w:ascii="Tahoma" w:hAnsi="Tahoma" w:cs="Tahoma"/>
          <w:b/>
          <w:color w:val="0BB4B8"/>
          <w:sz w:val="20"/>
          <w:szCs w:val="18"/>
        </w:rPr>
        <w:t>au 4</w:t>
      </w:r>
      <w:r w:rsidRPr="00D56203">
        <w:rPr>
          <w:rFonts w:ascii="Tahoma" w:hAnsi="Tahoma" w:cs="Tahoma"/>
          <w:b/>
          <w:color w:val="0BB4B8"/>
          <w:sz w:val="20"/>
          <w:szCs w:val="18"/>
          <w:vertAlign w:val="superscript"/>
        </w:rPr>
        <w:t>e</w:t>
      </w:r>
      <w:r>
        <w:rPr>
          <w:rFonts w:ascii="Tahoma" w:hAnsi="Tahoma" w:cs="Tahoma"/>
          <w:b/>
          <w:color w:val="0BB4B8"/>
          <w:sz w:val="20"/>
          <w:szCs w:val="18"/>
        </w:rPr>
        <w:t xml:space="preserve"> trimestre</w:t>
      </w:r>
      <w:r w:rsidR="008A6C05">
        <w:rPr>
          <w:rFonts w:ascii="Tahoma" w:hAnsi="Tahoma" w:cs="Tahoma"/>
          <w:b/>
          <w:color w:val="0BB4B8"/>
          <w:sz w:val="20"/>
          <w:szCs w:val="18"/>
        </w:rPr>
        <w:t xml:space="preserve"> pour les entreprises</w:t>
      </w:r>
      <w:r>
        <w:rPr>
          <w:rFonts w:ascii="Tahoma" w:hAnsi="Tahoma" w:cs="Tahoma"/>
          <w:b/>
          <w:color w:val="0BB4B8"/>
          <w:sz w:val="20"/>
          <w:szCs w:val="18"/>
        </w:rPr>
        <w:t xml:space="preserve">, </w:t>
      </w:r>
      <w:r w:rsidRPr="00D56203">
        <w:rPr>
          <w:rFonts w:ascii="Tahoma" w:hAnsi="Tahoma" w:cs="Tahoma"/>
          <w:b/>
          <w:color w:val="0BB4B8"/>
          <w:sz w:val="20"/>
          <w:szCs w:val="18"/>
        </w:rPr>
        <w:t>après plusieurs mois de baisse</w:t>
      </w:r>
    </w:p>
    <w:p w:rsidR="00812412" w:rsidRDefault="00812412" w:rsidP="00812412">
      <w:pPr>
        <w:pStyle w:val="Default"/>
        <w:spacing w:after="120"/>
        <w:jc w:val="both"/>
        <w:rPr>
          <w:rFonts w:ascii="Tahoma" w:hAnsi="Tahoma" w:cs="Tahoma"/>
          <w:sz w:val="18"/>
          <w:szCs w:val="18"/>
        </w:rPr>
      </w:pPr>
      <w:r>
        <w:rPr>
          <w:rFonts w:ascii="Tahoma" w:hAnsi="Tahoma" w:cs="Tahoma"/>
          <w:sz w:val="18"/>
          <w:szCs w:val="18"/>
        </w:rPr>
        <w:t>À La Réunion, l</w:t>
      </w:r>
      <w:r w:rsidRPr="00812412">
        <w:rPr>
          <w:rFonts w:ascii="Tahoma" w:hAnsi="Tahoma" w:cs="Tahoma"/>
          <w:sz w:val="18"/>
          <w:szCs w:val="18"/>
        </w:rPr>
        <w:t>es taux d’intérêt moyens augmentent entre juillet et octobre 2020 pour tous les types de crédit aux entreprises. Cette remontée des taux s’obse</w:t>
      </w:r>
      <w:r>
        <w:rPr>
          <w:rFonts w:ascii="Tahoma" w:hAnsi="Tahoma" w:cs="Tahoma"/>
          <w:sz w:val="18"/>
          <w:szCs w:val="18"/>
        </w:rPr>
        <w:t>rve également en France entière.</w:t>
      </w:r>
    </w:p>
    <w:p w:rsidR="00812412" w:rsidRPr="00812412" w:rsidRDefault="00812412" w:rsidP="00812412">
      <w:pPr>
        <w:pStyle w:val="Default"/>
        <w:spacing w:after="120"/>
        <w:jc w:val="both"/>
        <w:rPr>
          <w:rFonts w:ascii="Tahoma" w:hAnsi="Tahoma" w:cs="Tahoma"/>
          <w:sz w:val="18"/>
          <w:szCs w:val="18"/>
        </w:rPr>
      </w:pPr>
      <w:r w:rsidRPr="00812412">
        <w:rPr>
          <w:rFonts w:ascii="Tahoma" w:hAnsi="Tahoma" w:cs="Tahoma"/>
          <w:sz w:val="18"/>
          <w:szCs w:val="18"/>
        </w:rPr>
        <w:t>Le taux d’intérêt moyen pour les crédits à l’équipement s’élève à 1,68 %, en hausse de 48 points de base (pdb) par rapport à juillet 2020. Les nouveaux crédits à l’équipement sont, pour la quasi-totalité, souscrits à taux fixe, pour une durée moyenne d’environ 7 ans.</w:t>
      </w:r>
    </w:p>
    <w:p w:rsidR="00812412" w:rsidRPr="00812412" w:rsidRDefault="00812412" w:rsidP="00812412">
      <w:pPr>
        <w:pStyle w:val="Default"/>
        <w:spacing w:after="120"/>
        <w:jc w:val="both"/>
        <w:rPr>
          <w:rFonts w:ascii="Tahoma" w:hAnsi="Tahoma" w:cs="Tahoma"/>
          <w:sz w:val="18"/>
          <w:szCs w:val="18"/>
        </w:rPr>
      </w:pPr>
      <w:r w:rsidRPr="00812412">
        <w:rPr>
          <w:rFonts w:ascii="Tahoma" w:hAnsi="Tahoma" w:cs="Tahoma"/>
          <w:sz w:val="18"/>
          <w:szCs w:val="18"/>
        </w:rPr>
        <w:t xml:space="preserve">Le taux moyen des crédits de trésorerie </w:t>
      </w:r>
      <w:proofErr w:type="spellStart"/>
      <w:r w:rsidRPr="00812412">
        <w:rPr>
          <w:rFonts w:ascii="Tahoma" w:hAnsi="Tahoma" w:cs="Tahoma"/>
          <w:sz w:val="18"/>
          <w:szCs w:val="18"/>
        </w:rPr>
        <w:t>échéancée</w:t>
      </w:r>
      <w:proofErr w:type="spellEnd"/>
      <w:r w:rsidRPr="00812412">
        <w:rPr>
          <w:rFonts w:ascii="Tahoma" w:hAnsi="Tahoma" w:cs="Tahoma"/>
          <w:sz w:val="18"/>
          <w:szCs w:val="18"/>
        </w:rPr>
        <w:t xml:space="preserve"> poursuit sa remontée, passant de 0,32 % en avril, 0,87 % en juillet à 1,00 % en octobre 2020. Cette catégorie de crédit reste néanmoins marquée par le recours des entreprises à des prêts garantis par l’État (PGE), qui représentent encore la moitié des crédits octroyés. </w:t>
      </w:r>
    </w:p>
    <w:p w:rsidR="00875D09" w:rsidRPr="00777DC4" w:rsidRDefault="00812412" w:rsidP="00665912">
      <w:pPr>
        <w:pStyle w:val="Default"/>
        <w:spacing w:after="120"/>
        <w:jc w:val="both"/>
        <w:rPr>
          <w:rFonts w:ascii="Tahoma" w:hAnsi="Tahoma" w:cs="Tahoma"/>
          <w:b/>
          <w:color w:val="0BB4B8"/>
          <w:sz w:val="20"/>
          <w:szCs w:val="18"/>
        </w:rPr>
      </w:pPr>
      <w:r>
        <w:rPr>
          <w:rFonts w:ascii="Tahoma" w:hAnsi="Tahoma" w:cs="Tahoma"/>
          <w:b/>
          <w:color w:val="0BB4B8"/>
          <w:sz w:val="20"/>
          <w:szCs w:val="18"/>
        </w:rPr>
        <w:t>L</w:t>
      </w:r>
      <w:r w:rsidRPr="00812412">
        <w:rPr>
          <w:rFonts w:ascii="Tahoma" w:hAnsi="Tahoma" w:cs="Tahoma"/>
          <w:b/>
          <w:color w:val="0BB4B8"/>
          <w:sz w:val="20"/>
          <w:szCs w:val="18"/>
        </w:rPr>
        <w:t>es taux de crédit à l’habitat restent stables</w:t>
      </w:r>
    </w:p>
    <w:p w:rsidR="00812412" w:rsidRPr="00812412" w:rsidRDefault="00812412" w:rsidP="00812412">
      <w:pPr>
        <w:pStyle w:val="Default"/>
        <w:spacing w:after="120"/>
        <w:jc w:val="both"/>
        <w:rPr>
          <w:rFonts w:ascii="Tahoma" w:hAnsi="Tahoma" w:cs="Tahoma"/>
          <w:sz w:val="18"/>
          <w:szCs w:val="18"/>
        </w:rPr>
      </w:pPr>
      <w:r>
        <w:rPr>
          <w:rFonts w:ascii="Tahoma" w:hAnsi="Tahoma" w:cs="Tahoma"/>
          <w:sz w:val="18"/>
          <w:szCs w:val="18"/>
        </w:rPr>
        <w:t>L</w:t>
      </w:r>
      <w:r w:rsidRPr="00812412">
        <w:rPr>
          <w:rFonts w:ascii="Tahoma" w:hAnsi="Tahoma" w:cs="Tahoma"/>
          <w:sz w:val="18"/>
          <w:szCs w:val="18"/>
        </w:rPr>
        <w:t xml:space="preserve">a production de crédits aux particuliers retrouve son niveau d’avant-crise après le creux observé lors du confinement. Le taux moyen des nouveaux crédits à l’habitat se stabilise à un niveau bas (1,38 % en octobre 2020) et ceci depuis avril 2020. La durée moyenne de ce type de prêts s’élève à 20 ans pour un montant moyen d’emprunt de 145 000 euros. </w:t>
      </w:r>
    </w:p>
    <w:p w:rsidR="00812412" w:rsidRPr="00812412" w:rsidRDefault="00812412" w:rsidP="00812412">
      <w:pPr>
        <w:pStyle w:val="Default"/>
        <w:spacing w:after="120"/>
        <w:jc w:val="both"/>
        <w:rPr>
          <w:rFonts w:ascii="Tahoma" w:hAnsi="Tahoma" w:cs="Tahoma"/>
          <w:sz w:val="18"/>
          <w:szCs w:val="18"/>
        </w:rPr>
      </w:pPr>
      <w:r w:rsidRPr="00812412">
        <w:rPr>
          <w:rFonts w:ascii="Tahoma" w:hAnsi="Tahoma" w:cs="Tahoma"/>
          <w:sz w:val="18"/>
          <w:szCs w:val="18"/>
        </w:rPr>
        <w:t xml:space="preserve">Le taux moyen des prêts personnels et autres crédits </w:t>
      </w:r>
      <w:proofErr w:type="spellStart"/>
      <w:r w:rsidRPr="00812412">
        <w:rPr>
          <w:rFonts w:ascii="Tahoma" w:hAnsi="Tahoma" w:cs="Tahoma"/>
          <w:sz w:val="18"/>
          <w:szCs w:val="18"/>
        </w:rPr>
        <w:t>échéancés</w:t>
      </w:r>
      <w:proofErr w:type="spellEnd"/>
      <w:r w:rsidRPr="00812412">
        <w:rPr>
          <w:rFonts w:ascii="Tahoma" w:hAnsi="Tahoma" w:cs="Tahoma"/>
          <w:sz w:val="18"/>
          <w:szCs w:val="18"/>
        </w:rPr>
        <w:t xml:space="preserve"> à la consommation se réduit de 33 points de base (pdb) sur trois mois et s’établit à 3,05 % en octobre 2020. La durée moyenne de ces prêts personnels est de 5 ans, pour un montant moyen de 19 000 euros.</w:t>
      </w:r>
    </w:p>
    <w:p w:rsidR="00D933A7" w:rsidRDefault="00D933A7" w:rsidP="00F8074D">
      <w:pPr>
        <w:pStyle w:val="Default"/>
        <w:spacing w:after="120"/>
        <w:jc w:val="both"/>
        <w:rPr>
          <w:rFonts w:ascii="Tahoma" w:hAnsi="Tahoma" w:cs="Tahoma"/>
          <w:sz w:val="18"/>
          <w:szCs w:val="18"/>
        </w:rPr>
      </w:pPr>
    </w:p>
    <w:p w:rsidR="003716C7" w:rsidRDefault="0071650F" w:rsidP="003716C7">
      <w:pPr>
        <w:spacing w:after="120" w:line="240" w:lineRule="auto"/>
        <w:ind w:right="142"/>
        <w:jc w:val="center"/>
        <w:rPr>
          <w:rFonts w:ascii="Tahoma" w:eastAsia="Times New Roman" w:hAnsi="Tahoma" w:cs="Tahoma"/>
          <w:noProof/>
          <w:color w:val="000000"/>
          <w:sz w:val="20"/>
          <w:szCs w:val="20"/>
          <w:lang w:eastAsia="fr-FR"/>
        </w:rPr>
      </w:pPr>
      <w:r w:rsidRPr="00F8074D">
        <w:rPr>
          <w:rFonts w:ascii="Tahoma" w:eastAsia="Times New Roman" w:hAnsi="Tahoma" w:cs="Tahoma"/>
          <w:b/>
          <w:noProof/>
          <w:color w:val="000000"/>
          <w:sz w:val="20"/>
          <w:szCs w:val="20"/>
          <w:lang w:eastAsia="fr-FR"/>
        </w:rPr>
        <w:t>Les publications sont téléchargeables sur le site :</w:t>
      </w:r>
      <w:r w:rsidRPr="00F8074D">
        <w:rPr>
          <w:rFonts w:ascii="Tahoma" w:eastAsia="Times New Roman" w:hAnsi="Tahoma" w:cs="Tahoma"/>
          <w:noProof/>
          <w:color w:val="000000"/>
          <w:sz w:val="20"/>
          <w:szCs w:val="20"/>
          <w:lang w:eastAsia="fr-FR"/>
        </w:rPr>
        <w:t xml:space="preserve"> </w:t>
      </w:r>
    </w:p>
    <w:p w:rsidR="00D933A7" w:rsidRPr="003716C7" w:rsidRDefault="00DC64BC" w:rsidP="0071650F">
      <w:pPr>
        <w:spacing w:after="0" w:line="240" w:lineRule="auto"/>
        <w:ind w:right="142"/>
        <w:jc w:val="center"/>
        <w:rPr>
          <w:rFonts w:ascii="Tahoma" w:eastAsia="Times New Roman" w:hAnsi="Tahoma" w:cs="Tahoma"/>
          <w:b/>
          <w:noProof/>
          <w:color w:val="0BB4B8"/>
          <w:sz w:val="20"/>
          <w:szCs w:val="20"/>
          <w:lang w:eastAsia="fr-FR"/>
        </w:rPr>
      </w:pPr>
      <w:hyperlink r:id="rId9" w:history="1">
        <w:r w:rsidR="003716C7" w:rsidRPr="003716C7">
          <w:rPr>
            <w:rStyle w:val="Lienhypertexte"/>
            <w:rFonts w:ascii="Tahoma" w:hAnsi="Tahoma" w:cs="Tahoma"/>
            <w:b/>
            <w:color w:val="0BB4B8"/>
            <w:sz w:val="20"/>
            <w:szCs w:val="20"/>
          </w:rPr>
          <w:t>www.iedom.fr/la-reunion/publications/publications-economiques-et-financieres/conjoncture-financiere/taux-des-credits-a-la-reunion/</w:t>
        </w:r>
      </w:hyperlink>
    </w:p>
    <w:p w:rsidR="00D933A7" w:rsidRDefault="00D933A7" w:rsidP="009F4ECC">
      <w:pPr>
        <w:spacing w:after="0" w:line="240" w:lineRule="auto"/>
        <w:ind w:right="142"/>
        <w:jc w:val="right"/>
        <w:rPr>
          <w:rFonts w:ascii="Tahoma" w:eastAsia="Times New Roman" w:hAnsi="Tahoma" w:cs="Tahoma"/>
          <w:noProof/>
          <w:color w:val="000000"/>
          <w:sz w:val="18"/>
          <w:szCs w:val="18"/>
          <w:lang w:eastAsia="fr-FR"/>
        </w:rPr>
      </w:pPr>
    </w:p>
    <w:p w:rsidR="003716C7" w:rsidRDefault="003716C7" w:rsidP="00DD2872">
      <w:pPr>
        <w:spacing w:after="0" w:line="240" w:lineRule="auto"/>
        <w:ind w:right="142"/>
        <w:jc w:val="both"/>
        <w:rPr>
          <w:rFonts w:ascii="Tahoma" w:eastAsia="Times New Roman" w:hAnsi="Tahoma" w:cs="Tahoma"/>
          <w:color w:val="000000"/>
          <w:sz w:val="18"/>
          <w:szCs w:val="18"/>
          <w:lang w:eastAsia="fr-FR"/>
        </w:rPr>
      </w:pPr>
    </w:p>
    <w:p w:rsidR="00C653DF" w:rsidRDefault="00C653DF" w:rsidP="00C653DF">
      <w:pPr>
        <w:pStyle w:val="Default"/>
        <w:jc w:val="both"/>
        <w:rPr>
          <w:rFonts w:ascii="Tahoma" w:hAnsi="Tahoma" w:cs="Tahoma"/>
          <w:sz w:val="18"/>
          <w:szCs w:val="18"/>
        </w:rPr>
      </w:pPr>
      <w:r w:rsidRPr="00D933A7">
        <w:rPr>
          <w:rFonts w:ascii="Tahoma" w:hAnsi="Tahoma" w:cs="Tahoma"/>
          <w:sz w:val="18"/>
          <w:szCs w:val="18"/>
        </w:rPr>
        <w:t xml:space="preserve">Ces </w:t>
      </w:r>
      <w:r>
        <w:rPr>
          <w:rFonts w:ascii="Tahoma" w:hAnsi="Tahoma" w:cs="Tahoma"/>
          <w:sz w:val="18"/>
          <w:szCs w:val="18"/>
        </w:rPr>
        <w:t>analyses</w:t>
      </w:r>
      <w:r w:rsidRPr="00D933A7">
        <w:rPr>
          <w:rFonts w:ascii="Tahoma" w:hAnsi="Tahoma" w:cs="Tahoma"/>
          <w:sz w:val="18"/>
          <w:szCs w:val="18"/>
        </w:rPr>
        <w:t xml:space="preserve"> sont basées sur les déclarations des établissements et sociétés financières ayant leur activité à La Réunion. Elles prennent en compte les crédits nouveaux accordés au cours du premier mois de chaque trimestre. </w:t>
      </w:r>
    </w:p>
    <w:p w:rsidR="008A6C05" w:rsidRPr="00D933A7" w:rsidRDefault="008A6C05" w:rsidP="00C653DF">
      <w:pPr>
        <w:pStyle w:val="Default"/>
        <w:jc w:val="both"/>
        <w:rPr>
          <w:rFonts w:ascii="Tahoma" w:hAnsi="Tahoma" w:cs="Tahoma"/>
          <w:sz w:val="18"/>
          <w:szCs w:val="18"/>
        </w:rPr>
      </w:pPr>
    </w:p>
    <w:p w:rsidR="00C653DF" w:rsidRPr="00DD2872" w:rsidRDefault="00C653DF" w:rsidP="00C653DF">
      <w:pPr>
        <w:spacing w:after="0" w:line="240" w:lineRule="auto"/>
        <w:ind w:right="142"/>
        <w:jc w:val="both"/>
        <w:rPr>
          <w:rFonts w:ascii="Tahoma" w:eastAsia="Times New Roman" w:hAnsi="Tahoma" w:cs="Tahoma"/>
          <w:color w:val="000000"/>
          <w:sz w:val="18"/>
          <w:szCs w:val="18"/>
          <w:lang w:eastAsia="fr-FR"/>
        </w:rPr>
      </w:pPr>
    </w:p>
    <w:p w:rsidR="00C653DF" w:rsidRPr="009F4ECC" w:rsidRDefault="00C653DF" w:rsidP="00C653DF">
      <w:pPr>
        <w:pStyle w:val="Sansinterligne"/>
        <w:pBdr>
          <w:top w:val="single" w:sz="4" w:space="1" w:color="4F81BD" w:themeColor="accent1"/>
        </w:pBdr>
        <w:jc w:val="both"/>
        <w:rPr>
          <w:rFonts w:ascii="Tahoma" w:hAnsi="Tahoma" w:cs="Tahoma"/>
          <w:bCs/>
          <w:color w:val="076D6F"/>
          <w:sz w:val="16"/>
          <w:szCs w:val="17"/>
        </w:rPr>
      </w:pPr>
      <w:r w:rsidRPr="009F4ECC">
        <w:rPr>
          <w:rFonts w:ascii="Tahoma" w:eastAsia="Calibri" w:hAnsi="Tahoma" w:cs="Tahoma"/>
          <w:b/>
          <w:bCs/>
          <w:color w:val="076D6F"/>
          <w:sz w:val="16"/>
          <w:szCs w:val="17"/>
          <w:lang w:eastAsia="en-US"/>
        </w:rPr>
        <w:t>L’IEDOM</w:t>
      </w:r>
      <w:r w:rsidRPr="009F4ECC">
        <w:rPr>
          <w:rFonts w:ascii="Tahoma" w:eastAsia="Calibri" w:hAnsi="Tahoma" w:cs="Tahoma"/>
          <w:bCs/>
          <w:color w:val="076D6F"/>
          <w:sz w:val="16"/>
          <w:szCs w:val="17"/>
          <w:lang w:eastAsia="en-US"/>
        </w:rPr>
        <w:t xml:space="preserve"> assure le rôle de banque centrale dans les cinq départements d’outre-mer (Guadeloupe, Martinique, Guyane, La Réunion, Mayotte), ainsi que dans les collectivités de Saint-Pierre-et-Miquelon, Saint</w:t>
      </w:r>
      <w:r>
        <w:rPr>
          <w:rFonts w:ascii="Tahoma" w:eastAsia="Calibri" w:hAnsi="Tahoma" w:cs="Tahoma"/>
          <w:bCs/>
          <w:color w:val="076D6F"/>
          <w:sz w:val="16"/>
          <w:szCs w:val="17"/>
          <w:lang w:eastAsia="en-US"/>
        </w:rPr>
        <w:t>-</w:t>
      </w:r>
      <w:r w:rsidRPr="009F4ECC">
        <w:rPr>
          <w:rFonts w:ascii="Tahoma" w:eastAsia="Calibri" w:hAnsi="Tahoma" w:cs="Tahoma"/>
          <w:bCs/>
          <w:color w:val="076D6F"/>
          <w:sz w:val="16"/>
          <w:szCs w:val="17"/>
          <w:lang w:eastAsia="en-US"/>
        </w:rPr>
        <w:t xml:space="preserve">Barthélemy et Saint-Martin, dont la monnaie est l’euro. Société immatriculée au RCS Paris, il exerce ses missions de banque centrale « au nom, pour le compte et sous l’autorité de la Banque de France ». L’IEDOM exerce également des missions de service public qui lui ont été confiées par l’État. Par ailleurs, il assure le rôle d’observatoire économique et financier des économies ultramarines. </w:t>
      </w:r>
    </w:p>
    <w:p w:rsidR="00C653DF" w:rsidRPr="000104DD" w:rsidRDefault="00C653DF" w:rsidP="00C653DF">
      <w:pPr>
        <w:autoSpaceDE w:val="0"/>
        <w:autoSpaceDN w:val="0"/>
        <w:spacing w:before="120" w:after="120" w:line="240" w:lineRule="auto"/>
        <w:jc w:val="center"/>
        <w:outlineLvl w:val="0"/>
        <w:rPr>
          <w:rFonts w:ascii="Tahoma" w:hAnsi="Tahoma" w:cs="Tahoma"/>
          <w:b/>
          <w:i/>
          <w:iCs/>
          <w:color w:val="943634"/>
          <w:sz w:val="16"/>
          <w:szCs w:val="16"/>
        </w:rPr>
      </w:pPr>
      <w:r w:rsidRPr="000104DD">
        <w:rPr>
          <w:rFonts w:ascii="Tahoma" w:hAnsi="Tahoma" w:cs="Tahoma"/>
          <w:b/>
          <w:i/>
          <w:iCs/>
          <w:color w:val="943634"/>
          <w:sz w:val="16"/>
          <w:szCs w:val="16"/>
        </w:rPr>
        <w:t>Les publications de l’IE</w:t>
      </w:r>
      <w:r>
        <w:rPr>
          <w:rFonts w:ascii="Tahoma" w:hAnsi="Tahoma" w:cs="Tahoma"/>
          <w:b/>
          <w:i/>
          <w:iCs/>
          <w:color w:val="943634"/>
          <w:sz w:val="16"/>
          <w:szCs w:val="16"/>
        </w:rPr>
        <w:t>D</w:t>
      </w:r>
      <w:r w:rsidRPr="000104DD">
        <w:rPr>
          <w:rFonts w:ascii="Tahoma" w:hAnsi="Tahoma" w:cs="Tahoma"/>
          <w:b/>
          <w:i/>
          <w:iCs/>
          <w:color w:val="943634"/>
          <w:sz w:val="16"/>
          <w:szCs w:val="16"/>
        </w:rPr>
        <w:t xml:space="preserve">OM sont téléchargeables gratuitement sur le site </w:t>
      </w:r>
      <w:hyperlink r:id="rId10" w:history="1">
        <w:r w:rsidRPr="00EF6A2F">
          <w:rPr>
            <w:rStyle w:val="Lienhypertexte"/>
            <w:rFonts w:ascii="Tahoma" w:hAnsi="Tahoma" w:cs="Tahoma"/>
            <w:b/>
            <w:i/>
            <w:iCs/>
            <w:sz w:val="16"/>
            <w:szCs w:val="16"/>
          </w:rPr>
          <w:t>www.iedom.fr</w:t>
        </w:r>
      </w:hyperlink>
      <w:r w:rsidRPr="000104DD">
        <w:rPr>
          <w:rFonts w:ascii="Tahoma" w:hAnsi="Tahoma" w:cs="Tahoma"/>
          <w:b/>
          <w:i/>
          <w:iCs/>
          <w:color w:val="943634"/>
          <w:sz w:val="16"/>
          <w:szCs w:val="16"/>
        </w:rPr>
        <w:t xml:space="preserve">. </w:t>
      </w:r>
    </w:p>
    <w:p w:rsidR="003716C7" w:rsidRDefault="00C653DF" w:rsidP="00BD1694">
      <w:pPr>
        <w:autoSpaceDE w:val="0"/>
        <w:autoSpaceDN w:val="0"/>
        <w:spacing w:after="0" w:line="240" w:lineRule="auto"/>
        <w:jc w:val="center"/>
        <w:outlineLvl w:val="0"/>
        <w:rPr>
          <w:rFonts w:ascii="Tahoma" w:hAnsi="Tahoma" w:cs="Tahoma"/>
          <w:color w:val="943634"/>
          <w:sz w:val="16"/>
          <w:szCs w:val="16"/>
        </w:rPr>
      </w:pPr>
      <w:r w:rsidRPr="000104DD">
        <w:rPr>
          <w:rFonts w:ascii="Tahoma" w:hAnsi="Tahoma" w:cs="Tahoma"/>
          <w:bCs/>
          <w:color w:val="943634"/>
          <w:sz w:val="16"/>
          <w:szCs w:val="16"/>
        </w:rPr>
        <w:t>Contact presse</w:t>
      </w:r>
      <w:r>
        <w:rPr>
          <w:rFonts w:ascii="Tahoma" w:hAnsi="Tahoma" w:cs="Tahoma"/>
          <w:bCs/>
          <w:color w:val="943634"/>
          <w:sz w:val="16"/>
          <w:szCs w:val="16"/>
        </w:rPr>
        <w:t> </w:t>
      </w:r>
      <w:r w:rsidRPr="000104DD">
        <w:rPr>
          <w:rFonts w:ascii="Tahoma" w:hAnsi="Tahoma" w:cs="Tahoma"/>
          <w:bCs/>
          <w:color w:val="943634"/>
          <w:sz w:val="16"/>
          <w:szCs w:val="16"/>
        </w:rPr>
        <w:t xml:space="preserve">: </w:t>
      </w:r>
      <w:hyperlink r:id="rId11" w:history="1">
        <w:r w:rsidRPr="00993878">
          <w:rPr>
            <w:rStyle w:val="Lienhypertexte"/>
            <w:rFonts w:ascii="Tahoma" w:hAnsi="Tahoma" w:cs="Tahoma"/>
            <w:bCs/>
            <w:sz w:val="16"/>
            <w:szCs w:val="16"/>
          </w:rPr>
          <w:t>etudes-reunion@iedom-reunion.fr</w:t>
        </w:r>
      </w:hyperlink>
      <w:r>
        <w:rPr>
          <w:rFonts w:ascii="Tahoma" w:hAnsi="Tahoma" w:cs="Tahoma"/>
          <w:bCs/>
          <w:color w:val="943634"/>
          <w:sz w:val="16"/>
          <w:szCs w:val="16"/>
        </w:rPr>
        <w:t xml:space="preserve"> </w:t>
      </w:r>
      <w:hyperlink r:id="rId12" w:history="1"/>
      <w:r>
        <w:rPr>
          <w:rFonts w:ascii="Tahoma" w:hAnsi="Tahoma" w:cs="Tahoma"/>
          <w:bCs/>
          <w:color w:val="943634"/>
          <w:sz w:val="16"/>
          <w:szCs w:val="16"/>
        </w:rPr>
        <w:t>ou</w:t>
      </w:r>
      <w:r w:rsidRPr="000104DD">
        <w:rPr>
          <w:rFonts w:ascii="Tahoma" w:hAnsi="Tahoma" w:cs="Tahoma"/>
          <w:color w:val="943634"/>
          <w:sz w:val="16"/>
          <w:szCs w:val="16"/>
        </w:rPr>
        <w:t xml:space="preserve"> </w:t>
      </w:r>
      <w:r>
        <w:rPr>
          <w:rFonts w:ascii="Tahoma" w:hAnsi="Tahoma" w:cs="Tahoma"/>
          <w:color w:val="943634"/>
          <w:sz w:val="16"/>
          <w:szCs w:val="16"/>
        </w:rPr>
        <w:t>par tél. au 02 62 90 71 23</w:t>
      </w:r>
    </w:p>
    <w:p w:rsidR="00D23E5F" w:rsidRDefault="00D23E5F" w:rsidP="00BD1694">
      <w:pPr>
        <w:autoSpaceDE w:val="0"/>
        <w:autoSpaceDN w:val="0"/>
        <w:spacing w:after="0" w:line="240" w:lineRule="auto"/>
        <w:jc w:val="center"/>
        <w:outlineLvl w:val="0"/>
        <w:rPr>
          <w:rFonts w:ascii="Tahoma" w:hAnsi="Tahoma" w:cs="Tahoma"/>
          <w:noProof/>
          <w:sz w:val="18"/>
          <w:szCs w:val="18"/>
          <w:lang w:eastAsia="fr-FR"/>
        </w:rPr>
      </w:pPr>
    </w:p>
    <w:p w:rsidR="00DC64BC" w:rsidRDefault="00DC64BC" w:rsidP="00BD1694">
      <w:pPr>
        <w:autoSpaceDE w:val="0"/>
        <w:autoSpaceDN w:val="0"/>
        <w:spacing w:after="0" w:line="240" w:lineRule="auto"/>
        <w:jc w:val="center"/>
        <w:outlineLvl w:val="0"/>
        <w:rPr>
          <w:rFonts w:ascii="Tahoma" w:hAnsi="Tahoma" w:cs="Tahoma"/>
          <w:noProof/>
          <w:sz w:val="18"/>
          <w:szCs w:val="18"/>
          <w:lang w:eastAsia="fr-FR"/>
        </w:rPr>
      </w:pPr>
    </w:p>
    <w:p w:rsidR="00DC64BC" w:rsidRDefault="00DC64BC" w:rsidP="00BD1694">
      <w:pPr>
        <w:autoSpaceDE w:val="0"/>
        <w:autoSpaceDN w:val="0"/>
        <w:spacing w:after="0" w:line="240" w:lineRule="auto"/>
        <w:jc w:val="center"/>
        <w:outlineLvl w:val="0"/>
        <w:rPr>
          <w:rFonts w:ascii="Tahoma" w:hAnsi="Tahoma" w:cs="Tahoma"/>
          <w:noProof/>
          <w:sz w:val="18"/>
          <w:szCs w:val="18"/>
          <w:lang w:eastAsia="fr-FR"/>
        </w:rPr>
      </w:pPr>
    </w:p>
    <w:p w:rsidR="00DC64BC" w:rsidRDefault="00DC64BC" w:rsidP="00BD1694">
      <w:pPr>
        <w:autoSpaceDE w:val="0"/>
        <w:autoSpaceDN w:val="0"/>
        <w:spacing w:after="0" w:line="240" w:lineRule="auto"/>
        <w:jc w:val="center"/>
        <w:outlineLvl w:val="0"/>
        <w:rPr>
          <w:rFonts w:ascii="Tahoma" w:hAnsi="Tahoma" w:cs="Tahoma"/>
          <w:noProof/>
          <w:sz w:val="18"/>
          <w:szCs w:val="18"/>
          <w:lang w:eastAsia="fr-FR"/>
        </w:rPr>
      </w:pPr>
    </w:p>
    <w:p w:rsidR="00DC64BC" w:rsidRPr="00BD1694" w:rsidRDefault="00DC64BC" w:rsidP="00BD1694">
      <w:pPr>
        <w:autoSpaceDE w:val="0"/>
        <w:autoSpaceDN w:val="0"/>
        <w:spacing w:after="0" w:line="240" w:lineRule="auto"/>
        <w:jc w:val="center"/>
        <w:outlineLvl w:val="0"/>
        <w:rPr>
          <w:rFonts w:ascii="Tahoma" w:hAnsi="Tahoma" w:cs="Tahoma"/>
          <w:sz w:val="18"/>
          <w:szCs w:val="18"/>
        </w:rPr>
      </w:pPr>
      <w:r w:rsidRPr="00DC64BC">
        <w:rPr>
          <w:rFonts w:ascii="Tahoma" w:hAnsi="Tahoma" w:cs="Tahoma"/>
          <w:noProof/>
          <w:sz w:val="18"/>
          <w:szCs w:val="18"/>
          <w:lang w:eastAsia="fr-FR"/>
        </w:rPr>
        <w:lastRenderedPageBreak/>
        <w:drawing>
          <wp:inline distT="0" distB="0" distL="0" distR="0">
            <wp:extent cx="3819525" cy="9447853"/>
            <wp:effectExtent l="0" t="0" r="0" b="1270"/>
            <wp:docPr id="1" name="Image 1" descr="C:\Users\lebreton\Downloads\_Taux de crédit 3T20 à La Ré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reton\Downloads\_Taux de crédit 3T20 à La Réun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984" cy="9473725"/>
                    </a:xfrm>
                    <a:prstGeom prst="rect">
                      <a:avLst/>
                    </a:prstGeom>
                    <a:noFill/>
                    <a:ln>
                      <a:noFill/>
                    </a:ln>
                  </pic:spPr>
                </pic:pic>
              </a:graphicData>
            </a:graphic>
          </wp:inline>
        </w:drawing>
      </w:r>
    </w:p>
    <w:sectPr w:rsidR="00DC64BC" w:rsidRPr="00BD1694" w:rsidSect="003C55DB">
      <w:footerReference w:type="default" r:id="rId14"/>
      <w:pgSz w:w="11906" w:h="16838"/>
      <w:pgMar w:top="568" w:right="1133" w:bottom="142" w:left="1417" w:header="284"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E48" w:rsidRDefault="008C2E48" w:rsidP="0047456A">
      <w:pPr>
        <w:spacing w:after="0" w:line="240" w:lineRule="auto"/>
      </w:pPr>
      <w:r>
        <w:separator/>
      </w:r>
    </w:p>
  </w:endnote>
  <w:endnote w:type="continuationSeparator" w:id="0">
    <w:p w:rsidR="008C2E48" w:rsidRDefault="008C2E48" w:rsidP="0047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48" w:rsidRDefault="008C2E48" w:rsidP="00D83E78">
    <w:pPr>
      <w:pStyle w:val="Sansinterligne"/>
      <w:pBdr>
        <w:top w:val="single" w:sz="4" w:space="1" w:color="4F81BD" w:themeColor="accent1"/>
      </w:pBdr>
      <w:jc w:val="both"/>
      <w:rPr>
        <w:rFonts w:ascii="Tahoma" w:eastAsia="Calibri" w:hAnsi="Tahoma" w:cs="Tahoma"/>
        <w:b/>
        <w:bCs/>
        <w:color w:val="365F91"/>
        <w:sz w:val="17"/>
        <w:szCs w:val="17"/>
        <w:lang w:eastAsia="en-US"/>
      </w:rPr>
    </w:pPr>
  </w:p>
  <w:p w:rsidR="008C2E48" w:rsidRPr="00D83E78" w:rsidRDefault="008C2E48" w:rsidP="00D83E78">
    <w:pPr>
      <w:pStyle w:val="Pieddepag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E48" w:rsidRDefault="008C2E48" w:rsidP="0047456A">
      <w:pPr>
        <w:spacing w:after="0" w:line="240" w:lineRule="auto"/>
      </w:pPr>
      <w:r>
        <w:separator/>
      </w:r>
    </w:p>
  </w:footnote>
  <w:footnote w:type="continuationSeparator" w:id="0">
    <w:p w:rsidR="008C2E48" w:rsidRDefault="008C2E48" w:rsidP="00474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03A"/>
    <w:multiLevelType w:val="hybridMultilevel"/>
    <w:tmpl w:val="2F32FC7A"/>
    <w:lvl w:ilvl="0" w:tplc="3F54FA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736AFA"/>
    <w:multiLevelType w:val="hybridMultilevel"/>
    <w:tmpl w:val="C18247F0"/>
    <w:lvl w:ilvl="0" w:tplc="3000DAAE">
      <w:start w:val="1"/>
      <w:numFmt w:val="bullet"/>
      <w:lvlText w:val=""/>
      <w:lvlJc w:val="left"/>
      <w:pPr>
        <w:ind w:left="1428" w:hanging="360"/>
      </w:pPr>
      <w:rPr>
        <w:rFonts w:ascii="Symbol" w:hAnsi="Symbol" w:hint="default"/>
        <w:color w:val="31849B" w:themeColor="accent5" w:themeShade="BF"/>
        <w:u w:val="non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2D0566A0"/>
    <w:multiLevelType w:val="hybridMultilevel"/>
    <w:tmpl w:val="D8889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D221D9"/>
    <w:multiLevelType w:val="hybridMultilevel"/>
    <w:tmpl w:val="8318C0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1A6591"/>
    <w:multiLevelType w:val="hybridMultilevel"/>
    <w:tmpl w:val="83408CA0"/>
    <w:lvl w:ilvl="0" w:tplc="C03AF1B0">
      <w:start w:val="1"/>
      <w:numFmt w:val="bullet"/>
      <w:lvlText w:val=""/>
      <w:lvlJc w:val="left"/>
      <w:pPr>
        <w:tabs>
          <w:tab w:val="num" w:pos="1910"/>
        </w:tabs>
        <w:ind w:left="1910" w:hanging="360"/>
      </w:pPr>
      <w:rPr>
        <w:rFonts w:ascii="Symbol" w:hAnsi="Symbol" w:hint="default"/>
        <w:color w:val="85186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300B7E"/>
    <w:multiLevelType w:val="hybridMultilevel"/>
    <w:tmpl w:val="21FC1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A7449A"/>
    <w:multiLevelType w:val="hybridMultilevel"/>
    <w:tmpl w:val="A99EB858"/>
    <w:lvl w:ilvl="0" w:tplc="BA46A8DC">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4476469"/>
    <w:multiLevelType w:val="hybridMultilevel"/>
    <w:tmpl w:val="D5001D2C"/>
    <w:lvl w:ilvl="0" w:tplc="09FEDA5E">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867BFD"/>
    <w:multiLevelType w:val="hybridMultilevel"/>
    <w:tmpl w:val="FDC28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D0E8F"/>
    <w:multiLevelType w:val="hybridMultilevel"/>
    <w:tmpl w:val="8EB2E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num>
  <w:num w:numId="2">
    <w:abstractNumId w:val="4"/>
  </w:num>
  <w:num w:numId="3">
    <w:abstractNumId w:val="0"/>
  </w:num>
  <w:num w:numId="4">
    <w:abstractNumId w:val="8"/>
  </w:num>
  <w:num w:numId="5">
    <w:abstractNumId w:val="9"/>
  </w:num>
  <w:num w:numId="6">
    <w:abstractNumId w:val="6"/>
  </w:num>
  <w:num w:numId="7">
    <w:abstractNumId w:val="1"/>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36"/>
    <w:rsid w:val="00010486"/>
    <w:rsid w:val="000159C8"/>
    <w:rsid w:val="000223BA"/>
    <w:rsid w:val="00037A9A"/>
    <w:rsid w:val="0004153E"/>
    <w:rsid w:val="00092BB3"/>
    <w:rsid w:val="000F1628"/>
    <w:rsid w:val="00154A0D"/>
    <w:rsid w:val="0015598C"/>
    <w:rsid w:val="00157B97"/>
    <w:rsid w:val="0017024F"/>
    <w:rsid w:val="001753A8"/>
    <w:rsid w:val="00176411"/>
    <w:rsid w:val="00192870"/>
    <w:rsid w:val="001A1F0C"/>
    <w:rsid w:val="001C24AA"/>
    <w:rsid w:val="001C5C7F"/>
    <w:rsid w:val="001C7966"/>
    <w:rsid w:val="001E4FB6"/>
    <w:rsid w:val="001E7CAB"/>
    <w:rsid w:val="001F16E1"/>
    <w:rsid w:val="001F7356"/>
    <w:rsid w:val="00202FB5"/>
    <w:rsid w:val="00206BD3"/>
    <w:rsid w:val="00211162"/>
    <w:rsid w:val="00212994"/>
    <w:rsid w:val="00225430"/>
    <w:rsid w:val="002415B9"/>
    <w:rsid w:val="00274B20"/>
    <w:rsid w:val="002B0070"/>
    <w:rsid w:val="002C665E"/>
    <w:rsid w:val="002D368C"/>
    <w:rsid w:val="002F6DAC"/>
    <w:rsid w:val="00306EE7"/>
    <w:rsid w:val="00313734"/>
    <w:rsid w:val="00316260"/>
    <w:rsid w:val="0032422A"/>
    <w:rsid w:val="003254BE"/>
    <w:rsid w:val="0033081A"/>
    <w:rsid w:val="003473C8"/>
    <w:rsid w:val="003512B4"/>
    <w:rsid w:val="00353995"/>
    <w:rsid w:val="003659BC"/>
    <w:rsid w:val="003716C7"/>
    <w:rsid w:val="00383682"/>
    <w:rsid w:val="00385114"/>
    <w:rsid w:val="00394CB6"/>
    <w:rsid w:val="003A2807"/>
    <w:rsid w:val="003B1D81"/>
    <w:rsid w:val="003C2ACD"/>
    <w:rsid w:val="003C55DB"/>
    <w:rsid w:val="003D0575"/>
    <w:rsid w:val="003D2618"/>
    <w:rsid w:val="003E0908"/>
    <w:rsid w:val="003E1DCA"/>
    <w:rsid w:val="003E55BB"/>
    <w:rsid w:val="003F4B36"/>
    <w:rsid w:val="003F6A33"/>
    <w:rsid w:val="004004E4"/>
    <w:rsid w:val="00410F4A"/>
    <w:rsid w:val="00415DEF"/>
    <w:rsid w:val="0041692E"/>
    <w:rsid w:val="00431909"/>
    <w:rsid w:val="00450394"/>
    <w:rsid w:val="004666F1"/>
    <w:rsid w:val="0046710B"/>
    <w:rsid w:val="00473065"/>
    <w:rsid w:val="0047456A"/>
    <w:rsid w:val="004811D9"/>
    <w:rsid w:val="004A2FCA"/>
    <w:rsid w:val="004C7EF0"/>
    <w:rsid w:val="004D2C55"/>
    <w:rsid w:val="004F7126"/>
    <w:rsid w:val="00517A36"/>
    <w:rsid w:val="005207E2"/>
    <w:rsid w:val="005324E4"/>
    <w:rsid w:val="00532571"/>
    <w:rsid w:val="00535040"/>
    <w:rsid w:val="005475AF"/>
    <w:rsid w:val="005873EC"/>
    <w:rsid w:val="0059187E"/>
    <w:rsid w:val="00592E12"/>
    <w:rsid w:val="00596170"/>
    <w:rsid w:val="005B487A"/>
    <w:rsid w:val="005C3D14"/>
    <w:rsid w:val="005E4248"/>
    <w:rsid w:val="005E7E4E"/>
    <w:rsid w:val="005F0EFF"/>
    <w:rsid w:val="005F4D3E"/>
    <w:rsid w:val="005F5860"/>
    <w:rsid w:val="00600923"/>
    <w:rsid w:val="0061080E"/>
    <w:rsid w:val="00631370"/>
    <w:rsid w:val="00634651"/>
    <w:rsid w:val="00637E72"/>
    <w:rsid w:val="0064569B"/>
    <w:rsid w:val="00647951"/>
    <w:rsid w:val="00652172"/>
    <w:rsid w:val="006646F1"/>
    <w:rsid w:val="00665912"/>
    <w:rsid w:val="00681A95"/>
    <w:rsid w:val="006844F5"/>
    <w:rsid w:val="006B22DF"/>
    <w:rsid w:val="006C14AF"/>
    <w:rsid w:val="006C5551"/>
    <w:rsid w:val="006D5E0A"/>
    <w:rsid w:val="006D60EC"/>
    <w:rsid w:val="006F1F92"/>
    <w:rsid w:val="00711008"/>
    <w:rsid w:val="0071650F"/>
    <w:rsid w:val="007168D8"/>
    <w:rsid w:val="007204D1"/>
    <w:rsid w:val="0073064A"/>
    <w:rsid w:val="00731580"/>
    <w:rsid w:val="0073354C"/>
    <w:rsid w:val="007377E0"/>
    <w:rsid w:val="0075144D"/>
    <w:rsid w:val="00775B78"/>
    <w:rsid w:val="00777DC4"/>
    <w:rsid w:val="00792D48"/>
    <w:rsid w:val="00793EF2"/>
    <w:rsid w:val="007A43FC"/>
    <w:rsid w:val="007B2501"/>
    <w:rsid w:val="007B688B"/>
    <w:rsid w:val="007B692B"/>
    <w:rsid w:val="007C7E7D"/>
    <w:rsid w:val="007D1C89"/>
    <w:rsid w:val="00812412"/>
    <w:rsid w:val="00814184"/>
    <w:rsid w:val="00817CBE"/>
    <w:rsid w:val="00820CF4"/>
    <w:rsid w:val="008223F9"/>
    <w:rsid w:val="0082319D"/>
    <w:rsid w:val="00824222"/>
    <w:rsid w:val="00830ADB"/>
    <w:rsid w:val="00830F15"/>
    <w:rsid w:val="0084326E"/>
    <w:rsid w:val="00847F7E"/>
    <w:rsid w:val="008552F4"/>
    <w:rsid w:val="00867E52"/>
    <w:rsid w:val="00872C26"/>
    <w:rsid w:val="00875D09"/>
    <w:rsid w:val="0088137C"/>
    <w:rsid w:val="00892EF2"/>
    <w:rsid w:val="008974E9"/>
    <w:rsid w:val="008A6C05"/>
    <w:rsid w:val="008B334E"/>
    <w:rsid w:val="008B5BD0"/>
    <w:rsid w:val="008C2E48"/>
    <w:rsid w:val="008C67E6"/>
    <w:rsid w:val="008C7548"/>
    <w:rsid w:val="008D1BB8"/>
    <w:rsid w:val="008D2E3B"/>
    <w:rsid w:val="008D5A0E"/>
    <w:rsid w:val="008F1382"/>
    <w:rsid w:val="008F2093"/>
    <w:rsid w:val="008F2688"/>
    <w:rsid w:val="0090337E"/>
    <w:rsid w:val="0091010A"/>
    <w:rsid w:val="0091050F"/>
    <w:rsid w:val="00937F05"/>
    <w:rsid w:val="0094140B"/>
    <w:rsid w:val="00945BFB"/>
    <w:rsid w:val="00952CAF"/>
    <w:rsid w:val="009809B6"/>
    <w:rsid w:val="009861D9"/>
    <w:rsid w:val="00991266"/>
    <w:rsid w:val="00997A2A"/>
    <w:rsid w:val="009B071E"/>
    <w:rsid w:val="009D789D"/>
    <w:rsid w:val="009E02D7"/>
    <w:rsid w:val="009E46EA"/>
    <w:rsid w:val="009F4ECC"/>
    <w:rsid w:val="00A54237"/>
    <w:rsid w:val="00A71EF1"/>
    <w:rsid w:val="00AD1253"/>
    <w:rsid w:val="00AD2299"/>
    <w:rsid w:val="00AE0538"/>
    <w:rsid w:val="00AF3E8B"/>
    <w:rsid w:val="00AF50E4"/>
    <w:rsid w:val="00B10EC8"/>
    <w:rsid w:val="00B230D1"/>
    <w:rsid w:val="00B2475C"/>
    <w:rsid w:val="00B24D23"/>
    <w:rsid w:val="00B477C7"/>
    <w:rsid w:val="00B534C3"/>
    <w:rsid w:val="00B6487C"/>
    <w:rsid w:val="00B66D80"/>
    <w:rsid w:val="00B74A3C"/>
    <w:rsid w:val="00B761F9"/>
    <w:rsid w:val="00B86FAE"/>
    <w:rsid w:val="00BA223C"/>
    <w:rsid w:val="00BA72A8"/>
    <w:rsid w:val="00BB4E87"/>
    <w:rsid w:val="00BD1694"/>
    <w:rsid w:val="00BE209D"/>
    <w:rsid w:val="00BE7B23"/>
    <w:rsid w:val="00C050BD"/>
    <w:rsid w:val="00C05102"/>
    <w:rsid w:val="00C43C9D"/>
    <w:rsid w:val="00C473CD"/>
    <w:rsid w:val="00C653DF"/>
    <w:rsid w:val="00C6654C"/>
    <w:rsid w:val="00C70BB3"/>
    <w:rsid w:val="00C8319B"/>
    <w:rsid w:val="00C861B8"/>
    <w:rsid w:val="00C86682"/>
    <w:rsid w:val="00C9006C"/>
    <w:rsid w:val="00C93001"/>
    <w:rsid w:val="00CA46DE"/>
    <w:rsid w:val="00CB5890"/>
    <w:rsid w:val="00CC5C53"/>
    <w:rsid w:val="00CD30AF"/>
    <w:rsid w:val="00CF711A"/>
    <w:rsid w:val="00D2068F"/>
    <w:rsid w:val="00D23E5F"/>
    <w:rsid w:val="00D56203"/>
    <w:rsid w:val="00D570E5"/>
    <w:rsid w:val="00D57BC9"/>
    <w:rsid w:val="00D6387B"/>
    <w:rsid w:val="00D6752C"/>
    <w:rsid w:val="00D71EED"/>
    <w:rsid w:val="00D83E78"/>
    <w:rsid w:val="00D852FE"/>
    <w:rsid w:val="00D90B37"/>
    <w:rsid w:val="00D933A7"/>
    <w:rsid w:val="00D93D49"/>
    <w:rsid w:val="00DB2021"/>
    <w:rsid w:val="00DC64BC"/>
    <w:rsid w:val="00DD2872"/>
    <w:rsid w:val="00DD73AF"/>
    <w:rsid w:val="00DE6A2C"/>
    <w:rsid w:val="00DF3ADD"/>
    <w:rsid w:val="00E03270"/>
    <w:rsid w:val="00E15F22"/>
    <w:rsid w:val="00E551F5"/>
    <w:rsid w:val="00E8059C"/>
    <w:rsid w:val="00E836BE"/>
    <w:rsid w:val="00E86431"/>
    <w:rsid w:val="00E91C30"/>
    <w:rsid w:val="00E933A7"/>
    <w:rsid w:val="00EA4649"/>
    <w:rsid w:val="00EB1A01"/>
    <w:rsid w:val="00EB7014"/>
    <w:rsid w:val="00ED2291"/>
    <w:rsid w:val="00EE504F"/>
    <w:rsid w:val="00EF07FD"/>
    <w:rsid w:val="00F01D2F"/>
    <w:rsid w:val="00F30382"/>
    <w:rsid w:val="00F32D46"/>
    <w:rsid w:val="00F51B32"/>
    <w:rsid w:val="00F57FA1"/>
    <w:rsid w:val="00F60F44"/>
    <w:rsid w:val="00F63F51"/>
    <w:rsid w:val="00F8074D"/>
    <w:rsid w:val="00F973FD"/>
    <w:rsid w:val="00FA2858"/>
    <w:rsid w:val="00FB2FA2"/>
    <w:rsid w:val="00FB6EB0"/>
    <w:rsid w:val="00FD1E0B"/>
    <w:rsid w:val="00FD7F87"/>
    <w:rsid w:val="00FF4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AC6A529"/>
  <w15:docId w15:val="{5A473423-B2FE-403B-B827-7403E98C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3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517A36"/>
    <w:rPr>
      <w:color w:val="0000FF"/>
      <w:u w:val="single"/>
    </w:rPr>
  </w:style>
  <w:style w:type="paragraph" w:styleId="En-tte">
    <w:name w:val="header"/>
    <w:basedOn w:val="Normal"/>
    <w:link w:val="En-tteCar"/>
    <w:uiPriority w:val="99"/>
    <w:semiHidden/>
    <w:unhideWhenUsed/>
    <w:rsid w:val="00517A36"/>
    <w:pPr>
      <w:tabs>
        <w:tab w:val="center" w:pos="4536"/>
        <w:tab w:val="right" w:pos="9072"/>
      </w:tabs>
    </w:pPr>
  </w:style>
  <w:style w:type="character" w:customStyle="1" w:styleId="En-tteCar">
    <w:name w:val="En-tête Car"/>
    <w:basedOn w:val="Policepardfaut"/>
    <w:link w:val="En-tte"/>
    <w:uiPriority w:val="99"/>
    <w:semiHidden/>
    <w:rsid w:val="00517A36"/>
    <w:rPr>
      <w:rFonts w:ascii="Calibri" w:eastAsia="Calibri" w:hAnsi="Calibri" w:cs="Times New Roman"/>
    </w:rPr>
  </w:style>
  <w:style w:type="paragraph" w:customStyle="1" w:styleId="Default">
    <w:name w:val="Default"/>
    <w:rsid w:val="00517A3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basedOn w:val="Normal"/>
    <w:uiPriority w:val="1"/>
    <w:qFormat/>
    <w:rsid w:val="00517A36"/>
    <w:pPr>
      <w:spacing w:after="0" w:line="240" w:lineRule="auto"/>
    </w:pPr>
    <w:rPr>
      <w:rFonts w:eastAsiaTheme="minorHAnsi"/>
      <w:lang w:eastAsia="fr-FR"/>
    </w:rPr>
  </w:style>
  <w:style w:type="paragraph" w:styleId="Textedebulles">
    <w:name w:val="Balloon Text"/>
    <w:basedOn w:val="Normal"/>
    <w:link w:val="TextedebullesCar"/>
    <w:uiPriority w:val="99"/>
    <w:semiHidden/>
    <w:unhideWhenUsed/>
    <w:rsid w:val="00517A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7A36"/>
    <w:rPr>
      <w:rFonts w:ascii="Tahoma" w:eastAsia="Calibri" w:hAnsi="Tahoma" w:cs="Tahoma"/>
      <w:sz w:val="16"/>
      <w:szCs w:val="16"/>
    </w:rPr>
  </w:style>
  <w:style w:type="paragraph" w:styleId="Notedebasdepage">
    <w:name w:val="footnote text"/>
    <w:aliases w:val="Note de bas de page Car1,Note de bas de page Car Car, Car,Car"/>
    <w:basedOn w:val="Normal"/>
    <w:link w:val="NotedebasdepageCar"/>
    <w:unhideWhenUsed/>
    <w:rsid w:val="00BA72A8"/>
    <w:pPr>
      <w:spacing w:after="0" w:line="240" w:lineRule="auto"/>
    </w:pPr>
    <w:rPr>
      <w:sz w:val="20"/>
      <w:szCs w:val="20"/>
    </w:rPr>
  </w:style>
  <w:style w:type="character" w:customStyle="1" w:styleId="NotedebasdepageCar">
    <w:name w:val="Note de bas de page Car"/>
    <w:aliases w:val="Note de bas de page Car1 Car1,Note de bas de page Car Car Car1, Car Car1,Car Car1"/>
    <w:basedOn w:val="Policepardfaut"/>
    <w:link w:val="Notedebasdepage"/>
    <w:rsid w:val="00BA72A8"/>
    <w:rPr>
      <w:rFonts w:ascii="Calibri" w:eastAsia="Calibri" w:hAnsi="Calibri" w:cs="Times New Roman"/>
      <w:sz w:val="20"/>
      <w:szCs w:val="20"/>
    </w:rPr>
  </w:style>
  <w:style w:type="character" w:styleId="Appelnotedebasdep">
    <w:name w:val="footnote reference"/>
    <w:basedOn w:val="Policepardfaut"/>
    <w:semiHidden/>
    <w:unhideWhenUsed/>
    <w:rsid w:val="00BA72A8"/>
    <w:rPr>
      <w:vertAlign w:val="superscript"/>
    </w:rPr>
  </w:style>
  <w:style w:type="paragraph" w:styleId="Pieddepage">
    <w:name w:val="footer"/>
    <w:basedOn w:val="Normal"/>
    <w:link w:val="PieddepageCar"/>
    <w:uiPriority w:val="99"/>
    <w:unhideWhenUsed/>
    <w:rsid w:val="003512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12B4"/>
    <w:rPr>
      <w:rFonts w:ascii="Calibri" w:eastAsia="Calibri" w:hAnsi="Calibri" w:cs="Times New Roman"/>
    </w:rPr>
  </w:style>
  <w:style w:type="character" w:styleId="Lienhypertextesuivivisit">
    <w:name w:val="FollowedHyperlink"/>
    <w:basedOn w:val="Policepardfaut"/>
    <w:uiPriority w:val="99"/>
    <w:semiHidden/>
    <w:unhideWhenUsed/>
    <w:rsid w:val="009D789D"/>
    <w:rPr>
      <w:color w:val="800080" w:themeColor="followedHyperlink"/>
      <w:u w:val="single"/>
    </w:rPr>
  </w:style>
  <w:style w:type="table" w:styleId="Grilledutableau">
    <w:name w:val="Table Grid"/>
    <w:basedOn w:val="TableauNormal"/>
    <w:uiPriority w:val="59"/>
    <w:rsid w:val="009105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2">
    <w:name w:val="Note de bas de page Car2"/>
    <w:aliases w:val="Note de bas de page Car1 Car,Note de bas de page Car Car Car,Note de bas de page Car Car1, Car Car,Car Car"/>
    <w:basedOn w:val="Policepardfaut"/>
    <w:rsid w:val="00B10EC8"/>
    <w:rPr>
      <w:color w:val="000000"/>
      <w:sz w:val="18"/>
      <w:szCs w:val="18"/>
      <w:lang w:val="fr-FR" w:eastAsia="fr-FR" w:bidi="ar-SA"/>
    </w:rPr>
  </w:style>
  <w:style w:type="character" w:customStyle="1" w:styleId="hps">
    <w:name w:val="hps"/>
    <w:basedOn w:val="Policepardfaut"/>
    <w:rsid w:val="00B10EC8"/>
  </w:style>
  <w:style w:type="paragraph" w:styleId="Paragraphedeliste">
    <w:name w:val="List Paragraph"/>
    <w:basedOn w:val="Normal"/>
    <w:uiPriority w:val="34"/>
    <w:qFormat/>
    <w:rsid w:val="00010486"/>
    <w:pPr>
      <w:ind w:left="720"/>
      <w:contextualSpacing/>
    </w:pPr>
  </w:style>
  <w:style w:type="character" w:styleId="Marquedecommentaire">
    <w:name w:val="annotation reference"/>
    <w:basedOn w:val="Policepardfaut"/>
    <w:semiHidden/>
    <w:rsid w:val="001E4FB6"/>
    <w:rPr>
      <w:sz w:val="16"/>
      <w:szCs w:val="16"/>
    </w:rPr>
  </w:style>
  <w:style w:type="paragraph" w:styleId="Commentaire">
    <w:name w:val="annotation text"/>
    <w:basedOn w:val="Normal"/>
    <w:link w:val="CommentaireCar"/>
    <w:semiHidden/>
    <w:rsid w:val="001E4FB6"/>
    <w:pPr>
      <w:spacing w:after="0" w:line="240" w:lineRule="auto"/>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semiHidden/>
    <w:rsid w:val="001E4FB6"/>
    <w:rPr>
      <w:rFonts w:ascii="Times New Roman" w:eastAsia="Times New Roman" w:hAnsi="Times New Roman" w:cs="Times New Roman"/>
      <w:sz w:val="20"/>
      <w:szCs w:val="20"/>
      <w:lang w:eastAsia="fr-FR"/>
    </w:rPr>
  </w:style>
  <w:style w:type="paragraph" w:styleId="Lgende">
    <w:name w:val="caption"/>
    <w:basedOn w:val="Normal"/>
    <w:next w:val="Normal"/>
    <w:uiPriority w:val="35"/>
    <w:unhideWhenUsed/>
    <w:qFormat/>
    <w:rsid w:val="00B6487C"/>
    <w:pPr>
      <w:spacing w:line="240" w:lineRule="auto"/>
    </w:pPr>
    <w:rPr>
      <w:b/>
      <w:bCs/>
      <w:color w:val="4F81BD" w:themeColor="accent1"/>
      <w:sz w:val="18"/>
      <w:szCs w:val="18"/>
    </w:rPr>
  </w:style>
  <w:style w:type="paragraph" w:styleId="Titre">
    <w:name w:val="Title"/>
    <w:basedOn w:val="Normal"/>
    <w:next w:val="Normal"/>
    <w:link w:val="TitreCar"/>
    <w:uiPriority w:val="10"/>
    <w:qFormat/>
    <w:rsid w:val="003E55BB"/>
    <w:pPr>
      <w:spacing w:after="0" w:line="240" w:lineRule="auto"/>
      <w:contextualSpacing/>
      <w:jc w:val="center"/>
    </w:pPr>
    <w:rPr>
      <w:rFonts w:ascii="Tahoma" w:eastAsiaTheme="majorEastAsia" w:hAnsi="Tahoma" w:cs="Times New Roman (Titres CS)"/>
      <w:b/>
      <w:caps/>
      <w:color w:val="0BB4B8"/>
      <w:spacing w:val="-10"/>
      <w:kern w:val="28"/>
      <w:sz w:val="36"/>
      <w:szCs w:val="56"/>
    </w:rPr>
  </w:style>
  <w:style w:type="character" w:customStyle="1" w:styleId="TitreCar">
    <w:name w:val="Titre Car"/>
    <w:basedOn w:val="Policepardfaut"/>
    <w:link w:val="Titre"/>
    <w:uiPriority w:val="10"/>
    <w:rsid w:val="003E55BB"/>
    <w:rPr>
      <w:rFonts w:ascii="Tahoma" w:eastAsiaTheme="majorEastAsia" w:hAnsi="Tahoma" w:cs="Times New Roman (Titres CS)"/>
      <w:b/>
      <w:caps/>
      <w:color w:val="0BB4B8"/>
      <w:spacing w:val="-10"/>
      <w:kern w:val="28"/>
      <w:sz w:val="36"/>
      <w:szCs w:val="56"/>
    </w:rPr>
  </w:style>
  <w:style w:type="paragraph" w:styleId="Sous-titre">
    <w:name w:val="Subtitle"/>
    <w:basedOn w:val="Normal"/>
    <w:next w:val="Normal"/>
    <w:link w:val="Sous-titreCar"/>
    <w:uiPriority w:val="11"/>
    <w:qFormat/>
    <w:rsid w:val="003E55BB"/>
    <w:pPr>
      <w:numPr>
        <w:ilvl w:val="1"/>
      </w:numPr>
      <w:spacing w:after="0" w:line="240" w:lineRule="auto"/>
      <w:jc w:val="center"/>
    </w:pPr>
    <w:rPr>
      <w:rFonts w:ascii="Tahoma" w:eastAsiaTheme="minorEastAsia" w:hAnsi="Tahoma" w:cs="Times New Roman (Corps CS)"/>
      <w:b/>
      <w:caps/>
      <w:color w:val="0BB4B8"/>
      <w:sz w:val="20"/>
    </w:rPr>
  </w:style>
  <w:style w:type="character" w:customStyle="1" w:styleId="Sous-titreCar">
    <w:name w:val="Sous-titre Car"/>
    <w:basedOn w:val="Policepardfaut"/>
    <w:link w:val="Sous-titre"/>
    <w:uiPriority w:val="11"/>
    <w:rsid w:val="003E55BB"/>
    <w:rPr>
      <w:rFonts w:ascii="Tahoma" w:eastAsiaTheme="minorEastAsia" w:hAnsi="Tahoma" w:cs="Times New Roman (Corps CS)"/>
      <w:b/>
      <w:caps/>
      <w:color w:val="0BB4B8"/>
      <w:sz w:val="20"/>
    </w:rPr>
  </w:style>
  <w:style w:type="paragraph" w:customStyle="1" w:styleId="Titreencadr">
    <w:name w:val="Titre encadré"/>
    <w:basedOn w:val="Encadr"/>
    <w:qFormat/>
    <w:rsid w:val="00937F05"/>
    <w:pPr>
      <w:framePr w:wrap="around"/>
    </w:pPr>
    <w:rPr>
      <w:b/>
      <w:smallCaps/>
      <w:sz w:val="18"/>
      <w:lang w:val="en-US"/>
    </w:rPr>
  </w:style>
  <w:style w:type="paragraph" w:customStyle="1" w:styleId="Encadr">
    <w:name w:val="Encadré"/>
    <w:basedOn w:val="Normal"/>
    <w:qFormat/>
    <w:rsid w:val="00937F05"/>
    <w:pPr>
      <w:framePr w:wrap="around" w:vAnchor="text" w:hAnchor="text" w:y="1"/>
      <w:shd w:val="clear" w:color="auto" w:fill="F2F2F2" w:themeFill="background1" w:themeFillShade="F2"/>
      <w:spacing w:before="40" w:after="40" w:line="260" w:lineRule="exact"/>
      <w:ind w:left="454" w:right="454"/>
      <w:jc w:val="both"/>
    </w:pPr>
    <w:rPr>
      <w:rFonts w:ascii="Tahoma" w:eastAsiaTheme="minorHAnsi" w:hAnsi="Tahoma" w:cs="Times New Roman (Corps CS)"/>
      <w:color w:val="0BB4B8"/>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iedom-ieom.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udes-reunion@iedom-reunion.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edom.fr" TargetMode="External"/><Relationship Id="rId4" Type="http://schemas.openxmlformats.org/officeDocument/2006/relationships/settings" Target="settings.xml"/><Relationship Id="rId9" Type="http://schemas.openxmlformats.org/officeDocument/2006/relationships/hyperlink" Target="http://www.iedom.fr/la-reunion/publications/publications-economiques-et-financieres/conjoncture-financiere/taux-des-credits-a-la-reunio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72163-92E7-4A6A-8E6F-19AE489A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IEDOM REUNION SERVICE INFORMATIQUE</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LEBRETON Christine</cp:lastModifiedBy>
  <cp:revision>6</cp:revision>
  <cp:lastPrinted>2020-08-27T04:15:00Z</cp:lastPrinted>
  <dcterms:created xsi:type="dcterms:W3CDTF">2021-03-17T06:13:00Z</dcterms:created>
  <dcterms:modified xsi:type="dcterms:W3CDTF">2021-03-18T06:59:00Z</dcterms:modified>
</cp:coreProperties>
</file>